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ind w:firstLine="0" w:firstLineChars="0"/>
        <w:jc w:val="center"/>
        <w:rPr>
          <w:rFonts w:ascii="仿宋_GB2312" w:hAnsi="仿宋_GB2312" w:eastAsia="仿宋_GB2312" w:cs="仿宋_GB2312"/>
          <w:sz w:val="21"/>
          <w:szCs w:val="21"/>
        </w:rPr>
      </w:pPr>
    </w:p>
    <w:p>
      <w:pPr>
        <w:widowControl w:val="0"/>
        <w:ind w:firstLine="0" w:firstLineChars="0"/>
        <w:jc w:val="center"/>
        <w:outlineLvl w:val="0"/>
        <w:rPr>
          <w:rFonts w:ascii="方正小标宋_GBK" w:hAnsi="方正小标宋_GBK" w:eastAsia="方正小标宋_GBK" w:cs="方正小标宋_GBK"/>
          <w:bCs/>
          <w:sz w:val="21"/>
          <w:szCs w:val="21"/>
        </w:rPr>
      </w:pPr>
      <w:bookmarkStart w:id="0" w:name="_Toc24156"/>
      <w:r>
        <w:rPr>
          <w:rFonts w:hint="eastAsia" w:ascii="方正小标宋_GBK" w:hAnsi="方正小标宋_GBK" w:eastAsia="方正小标宋_GBK" w:cs="方正小标宋_GBK"/>
          <w:bCs/>
          <w:kern w:val="2"/>
          <w:sz w:val="48"/>
          <w:szCs w:val="48"/>
          <w:lang w:bidi="ar"/>
        </w:rPr>
        <w:t>建设项目环境影响报告表</w:t>
      </w:r>
      <w:bookmarkEnd w:id="0"/>
    </w:p>
    <w:p>
      <w:pPr>
        <w:widowControl w:val="0"/>
        <w:spacing w:before="249" w:beforeLines="80"/>
        <w:ind w:firstLine="0" w:firstLineChars="0"/>
        <w:jc w:val="center"/>
        <w:rPr>
          <w:rFonts w:ascii="楷体_GB2312" w:eastAsia="楷体_GB2312" w:cs="楷体_GB2312"/>
          <w:bCs/>
          <w:sz w:val="36"/>
          <w:szCs w:val="36"/>
        </w:rPr>
      </w:pPr>
      <w:r>
        <w:rPr>
          <w:rFonts w:hint="eastAsia" w:ascii="楷体_GB2312" w:eastAsia="楷体_GB2312" w:cs="楷体_GB2312"/>
          <w:bCs/>
          <w:kern w:val="2"/>
          <w:sz w:val="36"/>
          <w:szCs w:val="36"/>
          <w:lang w:bidi="ar"/>
        </w:rPr>
        <w:t>（污染影响类）</w:t>
      </w:r>
    </w:p>
    <w:p>
      <w:pPr>
        <w:widowControl w:val="0"/>
        <w:tabs>
          <w:tab w:val="left" w:pos="5244"/>
        </w:tabs>
        <w:spacing w:line="288" w:lineRule="auto"/>
        <w:ind w:firstLine="0" w:firstLineChars="0"/>
        <w:outlineLvl w:val="0"/>
        <w:rPr>
          <w:rFonts w:ascii="华文仿宋" w:hAnsi="华文仿宋" w:eastAsia="华文仿宋" w:cs="华文仿宋"/>
          <w:kern w:val="44"/>
          <w:sz w:val="36"/>
          <w:szCs w:val="36"/>
        </w:rPr>
      </w:pPr>
      <w:r>
        <w:rPr>
          <w:rFonts w:ascii="华文仿宋" w:hAnsi="华文仿宋" w:eastAsia="华文仿宋" w:cs="华文仿宋"/>
          <w:kern w:val="44"/>
          <w:sz w:val="36"/>
          <w:szCs w:val="36"/>
        </w:rPr>
        <w:tab/>
      </w:r>
    </w:p>
    <w:p>
      <w:pPr>
        <w:widowControl w:val="0"/>
        <w:ind w:firstLine="0" w:firstLineChars="0"/>
        <w:jc w:val="center"/>
        <w:rPr>
          <w:rFonts w:eastAsia="仿宋"/>
          <w:sz w:val="36"/>
          <w:szCs w:val="36"/>
        </w:rPr>
      </w:pPr>
    </w:p>
    <w:p>
      <w:pPr>
        <w:widowControl w:val="0"/>
        <w:ind w:firstLine="0" w:firstLineChars="0"/>
        <w:jc w:val="center"/>
        <w:rPr>
          <w:rFonts w:eastAsia="仿宋"/>
          <w:sz w:val="36"/>
          <w:szCs w:val="36"/>
        </w:rPr>
      </w:pPr>
    </w:p>
    <w:p>
      <w:pPr>
        <w:widowControl w:val="0"/>
        <w:ind w:firstLine="0" w:firstLineChars="0"/>
        <w:jc w:val="center"/>
        <w:rPr>
          <w:rFonts w:eastAsia="仿宋"/>
          <w:sz w:val="36"/>
          <w:szCs w:val="36"/>
        </w:rPr>
      </w:pPr>
    </w:p>
    <w:p>
      <w:pPr>
        <w:widowControl w:val="0"/>
        <w:ind w:firstLine="0" w:firstLineChars="0"/>
        <w:jc w:val="center"/>
        <w:rPr>
          <w:rFonts w:eastAsia="仿宋"/>
          <w:sz w:val="36"/>
          <w:szCs w:val="36"/>
        </w:rPr>
      </w:pPr>
    </w:p>
    <w:p>
      <w:pPr>
        <w:widowControl w:val="0"/>
        <w:ind w:firstLine="0" w:firstLineChars="0"/>
        <w:jc w:val="center"/>
        <w:rPr>
          <w:rFonts w:eastAsia="仿宋"/>
          <w:sz w:val="36"/>
          <w:szCs w:val="36"/>
        </w:rPr>
      </w:pPr>
    </w:p>
    <w:p>
      <w:pPr>
        <w:widowControl w:val="0"/>
        <w:spacing w:line="288" w:lineRule="auto"/>
        <w:ind w:firstLine="0" w:firstLineChars="0"/>
        <w:jc w:val="center"/>
        <w:rPr>
          <w:rFonts w:ascii="仿宋_GB2312" w:eastAsia="仿宋_GB2312" w:cs="仿宋_GB2312"/>
          <w:sz w:val="36"/>
          <w:szCs w:val="36"/>
          <w:u w:val="single"/>
        </w:rPr>
      </w:pPr>
      <w:r>
        <w:rPr>
          <w:rFonts w:hint="eastAsia" w:ascii="仿宋_GB2312" w:eastAsia="仿宋_GB2312" w:cs="仿宋_GB2312"/>
          <w:kern w:val="2"/>
          <w:sz w:val="36"/>
          <w:szCs w:val="36"/>
          <w:lang w:bidi="ar"/>
        </w:rPr>
        <w:t>项目名称：</w:t>
      </w:r>
      <w:r>
        <w:rPr>
          <w:rFonts w:hint="eastAsia" w:ascii="仿宋_GB2312" w:eastAsia="仿宋_GB2312" w:cs="仿宋_GB2312"/>
          <w:kern w:val="2"/>
          <w:sz w:val="36"/>
          <w:szCs w:val="36"/>
          <w:u w:val="single"/>
          <w:lang w:bidi="ar"/>
        </w:rPr>
        <w:t>桥梁钢结构（3.25万t/a）生产项目</w:t>
      </w:r>
    </w:p>
    <w:p>
      <w:pPr>
        <w:widowControl w:val="0"/>
        <w:spacing w:line="288" w:lineRule="auto"/>
        <w:ind w:firstLine="0" w:firstLineChars="0"/>
        <w:jc w:val="center"/>
        <w:rPr>
          <w:rFonts w:ascii="仿宋_GB2312" w:eastAsia="仿宋_GB2312" w:cs="仿宋_GB2312"/>
          <w:sz w:val="36"/>
          <w:szCs w:val="36"/>
          <w:u w:val="single"/>
        </w:rPr>
      </w:pPr>
      <w:r>
        <w:rPr>
          <w:rFonts w:hint="eastAsia" w:ascii="仿宋_GB2312" w:eastAsia="仿宋_GB2312" w:cs="仿宋_GB2312"/>
          <w:kern w:val="2"/>
          <w:sz w:val="36"/>
          <w:szCs w:val="36"/>
          <w:lang w:bidi="ar"/>
        </w:rPr>
        <w:t>建设单位（盖章）：</w:t>
      </w:r>
      <w:r>
        <w:rPr>
          <w:rFonts w:hint="eastAsia" w:ascii="仿宋_GB2312" w:eastAsia="仿宋_GB2312" w:cs="仿宋_GB2312"/>
          <w:kern w:val="2"/>
          <w:sz w:val="36"/>
          <w:szCs w:val="36"/>
          <w:u w:val="single"/>
          <w:lang w:bidi="ar"/>
        </w:rPr>
        <w:t>岳阳威尔重工有限公司</w:t>
      </w:r>
    </w:p>
    <w:p>
      <w:pPr>
        <w:widowControl w:val="0"/>
        <w:spacing w:line="288" w:lineRule="auto"/>
        <w:ind w:firstLine="0" w:firstLineChars="0"/>
        <w:jc w:val="center"/>
        <w:rPr>
          <w:rFonts w:ascii="仿宋_GB2312" w:eastAsia="仿宋_GB2312" w:cs="仿宋_GB2312"/>
          <w:sz w:val="36"/>
          <w:szCs w:val="36"/>
          <w:u w:val="single"/>
        </w:rPr>
      </w:pPr>
      <w:r>
        <w:rPr>
          <w:rFonts w:hint="eastAsia" w:ascii="仿宋_GB2312" w:eastAsia="仿宋_GB2312" w:cs="仿宋_GB2312"/>
          <w:kern w:val="2"/>
          <w:sz w:val="36"/>
          <w:szCs w:val="36"/>
          <w:lang w:bidi="ar"/>
        </w:rPr>
        <w:t>编制日期：</w:t>
      </w:r>
      <w:r>
        <w:rPr>
          <w:rFonts w:hint="eastAsia" w:ascii="仿宋_GB2312" w:eastAsia="仿宋_GB2312" w:cs="仿宋_GB2312"/>
          <w:kern w:val="2"/>
          <w:sz w:val="36"/>
          <w:szCs w:val="36"/>
          <w:u w:val="single"/>
          <w:lang w:bidi="ar"/>
        </w:rPr>
        <w:t>2021年</w:t>
      </w:r>
      <w:r>
        <w:rPr>
          <w:rFonts w:hint="eastAsia" w:ascii="仿宋_GB2312" w:eastAsia="仿宋_GB2312" w:cs="仿宋_GB2312"/>
          <w:kern w:val="2"/>
          <w:sz w:val="36"/>
          <w:szCs w:val="36"/>
          <w:u w:val="single"/>
          <w:lang w:val="en-US" w:eastAsia="zh-CN" w:bidi="ar"/>
        </w:rPr>
        <w:t>4</w:t>
      </w:r>
      <w:r>
        <w:rPr>
          <w:rFonts w:hint="eastAsia" w:ascii="仿宋_GB2312" w:eastAsia="仿宋_GB2312" w:cs="仿宋_GB2312"/>
          <w:kern w:val="2"/>
          <w:sz w:val="36"/>
          <w:szCs w:val="36"/>
          <w:u w:val="single"/>
          <w:lang w:bidi="ar"/>
        </w:rPr>
        <w:t>月</w:t>
      </w:r>
    </w:p>
    <w:p>
      <w:pPr>
        <w:widowControl w:val="0"/>
        <w:spacing w:line="288" w:lineRule="auto"/>
        <w:ind w:firstLine="0" w:firstLineChars="0"/>
        <w:jc w:val="center"/>
        <w:rPr>
          <w:rFonts w:ascii="仿宋_GB2312" w:eastAsia="仿宋_GB2312" w:cs="仿宋_GB2312"/>
          <w:sz w:val="36"/>
          <w:szCs w:val="36"/>
          <w:u w:val="single"/>
        </w:rPr>
      </w:pPr>
      <w:bookmarkStart w:id="1" w:name="_Hlk57884087"/>
    </w:p>
    <w:p>
      <w:pPr>
        <w:widowControl w:val="0"/>
        <w:spacing w:line="288" w:lineRule="auto"/>
        <w:ind w:firstLine="0" w:firstLineChars="0"/>
        <w:jc w:val="center"/>
        <w:rPr>
          <w:rFonts w:ascii="仿宋_GB2312" w:eastAsia="仿宋_GB2312" w:cs="仿宋_GB2312"/>
          <w:sz w:val="36"/>
          <w:szCs w:val="36"/>
        </w:rPr>
      </w:pPr>
    </w:p>
    <w:p>
      <w:pPr>
        <w:widowControl w:val="0"/>
        <w:spacing w:line="288" w:lineRule="auto"/>
        <w:ind w:firstLine="0" w:firstLineChars="0"/>
        <w:jc w:val="center"/>
        <w:rPr>
          <w:rFonts w:ascii="仿宋_GB2312" w:eastAsia="仿宋_GB2312" w:cs="仿宋_GB2312"/>
          <w:sz w:val="36"/>
          <w:szCs w:val="36"/>
        </w:rPr>
      </w:pPr>
    </w:p>
    <w:p>
      <w:pPr>
        <w:widowControl w:val="0"/>
        <w:spacing w:line="288" w:lineRule="auto"/>
        <w:ind w:firstLine="0" w:firstLineChars="0"/>
        <w:jc w:val="center"/>
        <w:rPr>
          <w:rFonts w:ascii="仿宋_GB2312" w:eastAsia="仿宋_GB2312" w:cs="仿宋_GB2312"/>
          <w:sz w:val="36"/>
          <w:szCs w:val="36"/>
        </w:rPr>
      </w:pPr>
    </w:p>
    <w:bookmarkEnd w:id="1"/>
    <w:p>
      <w:pPr>
        <w:widowControl w:val="0"/>
        <w:spacing w:line="288" w:lineRule="auto"/>
        <w:ind w:firstLine="0" w:firstLineChars="0"/>
        <w:jc w:val="center"/>
        <w:rPr>
          <w:rFonts w:ascii="楷体_GB2312" w:eastAsia="楷体_GB2312" w:cs="楷体_GB2312"/>
          <w:sz w:val="36"/>
          <w:szCs w:val="36"/>
        </w:rPr>
      </w:pPr>
      <w:r>
        <w:rPr>
          <w:rFonts w:hint="eastAsia" w:ascii="楷体_GB2312" w:eastAsia="楷体_GB2312" w:cs="楷体_GB2312"/>
          <w:kern w:val="2"/>
          <w:sz w:val="36"/>
          <w:szCs w:val="36"/>
          <w:lang w:bidi="ar"/>
        </w:rPr>
        <w:t>中华人民共和国生态环境部制</w:t>
      </w:r>
    </w:p>
    <w:p>
      <w:pPr>
        <w:spacing w:line="288" w:lineRule="auto"/>
        <w:ind w:firstLine="0" w:firstLineChars="0"/>
        <w:jc w:val="center"/>
        <w:rPr>
          <w:rFonts w:ascii="仿宋_GB2312" w:eastAsia="仿宋_GB2312" w:cs="Times New Roman"/>
          <w:kern w:val="2"/>
          <w:sz w:val="36"/>
          <w:szCs w:val="36"/>
          <w:lang w:bidi="ar"/>
        </w:rPr>
        <w:sectPr>
          <w:headerReference r:id="rId7" w:type="first"/>
          <w:footerReference r:id="rId10" w:type="first"/>
          <w:headerReference r:id="rId5" w:type="default"/>
          <w:footerReference r:id="rId8" w:type="default"/>
          <w:headerReference r:id="rId6" w:type="even"/>
          <w:footerReference r:id="rId9" w:type="even"/>
          <w:pgSz w:w="11906" w:h="16838"/>
          <w:pgMar w:top="1702" w:right="1531" w:bottom="1702" w:left="1531" w:header="851" w:footer="1077" w:gutter="0"/>
          <w:pgNumType w:start="3"/>
          <w:cols w:space="425" w:num="1"/>
          <w:docGrid w:type="lines" w:linePitch="312" w:charSpace="0"/>
        </w:sectPr>
      </w:pPr>
    </w:p>
    <w:sdt>
      <w:sdtPr>
        <w:rPr>
          <w:b w:val="0"/>
          <w:bCs w:val="0"/>
          <w:kern w:val="0"/>
          <w:sz w:val="21"/>
          <w:szCs w:val="21"/>
        </w:rPr>
        <w:id w:val="147454129"/>
        <w15:color w:val="DBDBDB"/>
        <w:docPartObj>
          <w:docPartGallery w:val="Table of Contents"/>
          <w:docPartUnique/>
        </w:docPartObj>
      </w:sdtPr>
      <w:sdtEndPr>
        <w:rPr>
          <w:b w:val="0"/>
          <w:bCs w:val="0"/>
          <w:kern w:val="0"/>
          <w:sz w:val="21"/>
          <w:szCs w:val="21"/>
        </w:rPr>
      </w:sdtEndPr>
      <w:sdtContent>
        <w:p>
          <w:pPr>
            <w:pStyle w:val="8"/>
            <w:ind w:firstLine="0" w:firstLineChars="0"/>
            <w:rPr>
              <w:sz w:val="24"/>
              <w:szCs w:val="24"/>
            </w:rPr>
          </w:pPr>
          <w:r>
            <w:rPr>
              <w:sz w:val="24"/>
              <w:szCs w:val="24"/>
            </w:rPr>
            <w:t>目录</w:t>
          </w:r>
        </w:p>
        <w:p>
          <w:pPr>
            <w:pStyle w:val="21"/>
            <w:tabs>
              <w:tab w:val="right" w:leader="dot" w:pos="8844"/>
            </w:tabs>
            <w:ind w:firstLine="0" w:firstLineChars="0"/>
            <w:rPr>
              <w:szCs w:val="24"/>
            </w:rPr>
          </w:pPr>
          <w:r>
            <w:rPr>
              <w:szCs w:val="24"/>
            </w:rPr>
            <w:fldChar w:fldCharType="begin"/>
          </w:r>
          <w:r>
            <w:rPr>
              <w:szCs w:val="24"/>
            </w:rPr>
            <w:instrText xml:space="preserve">TOC \o "1-3" \h \u </w:instrText>
          </w:r>
          <w:r>
            <w:rPr>
              <w:szCs w:val="24"/>
            </w:rPr>
            <w:fldChar w:fldCharType="separate"/>
          </w:r>
          <w:r>
            <w:fldChar w:fldCharType="begin"/>
          </w:r>
          <w:r>
            <w:instrText xml:space="preserve"> HYPERLINK \l "_Toc11341" </w:instrText>
          </w:r>
          <w:r>
            <w:fldChar w:fldCharType="separate"/>
          </w:r>
          <w:r>
            <w:rPr>
              <w:rFonts w:ascii="黑体" w:eastAsia="黑体" w:cs="黑体"/>
              <w:snapToGrid w:val="0"/>
              <w:szCs w:val="24"/>
            </w:rPr>
            <w:t>一、建设项目基本情况</w:t>
          </w:r>
          <w:r>
            <w:rPr>
              <w:szCs w:val="24"/>
            </w:rPr>
            <w:tab/>
          </w:r>
          <w:r>
            <w:rPr>
              <w:rFonts w:hint="eastAsia"/>
              <w:szCs w:val="24"/>
            </w:rPr>
            <w:t>1</w:t>
          </w:r>
          <w:r>
            <w:rPr>
              <w:rFonts w:hint="eastAsia"/>
              <w:szCs w:val="24"/>
            </w:rPr>
            <w:fldChar w:fldCharType="end"/>
          </w:r>
        </w:p>
        <w:p>
          <w:pPr>
            <w:pStyle w:val="21"/>
            <w:tabs>
              <w:tab w:val="right" w:leader="dot" w:pos="8844"/>
            </w:tabs>
            <w:ind w:firstLine="0" w:firstLineChars="0"/>
            <w:rPr>
              <w:szCs w:val="24"/>
            </w:rPr>
          </w:pPr>
          <w:r>
            <w:fldChar w:fldCharType="begin"/>
          </w:r>
          <w:r>
            <w:instrText xml:space="preserve"> HYPERLINK \l "_Toc17326" </w:instrText>
          </w:r>
          <w:r>
            <w:fldChar w:fldCharType="separate"/>
          </w:r>
          <w:r>
            <w:rPr>
              <w:rFonts w:ascii="黑体" w:eastAsia="黑体" w:cs="黑体"/>
              <w:snapToGrid w:val="0"/>
              <w:szCs w:val="24"/>
            </w:rPr>
            <w:t>二、建设项目工程分析</w:t>
          </w:r>
          <w:r>
            <w:rPr>
              <w:szCs w:val="24"/>
            </w:rPr>
            <w:tab/>
          </w:r>
          <w:r>
            <w:rPr>
              <w:szCs w:val="24"/>
            </w:rPr>
            <w:fldChar w:fldCharType="begin"/>
          </w:r>
          <w:r>
            <w:rPr>
              <w:szCs w:val="24"/>
            </w:rPr>
            <w:instrText xml:space="preserve"> PAGEREF _Toc17326 \h </w:instrText>
          </w:r>
          <w:r>
            <w:rPr>
              <w:szCs w:val="24"/>
            </w:rPr>
            <w:fldChar w:fldCharType="separate"/>
          </w:r>
          <w:r>
            <w:rPr>
              <w:szCs w:val="24"/>
            </w:rPr>
            <w:t>7</w:t>
          </w:r>
          <w:r>
            <w:rPr>
              <w:szCs w:val="24"/>
            </w:rPr>
            <w:fldChar w:fldCharType="end"/>
          </w:r>
          <w:r>
            <w:rPr>
              <w:szCs w:val="24"/>
            </w:rPr>
            <w:fldChar w:fldCharType="end"/>
          </w:r>
        </w:p>
        <w:p>
          <w:pPr>
            <w:pStyle w:val="21"/>
            <w:tabs>
              <w:tab w:val="right" w:leader="dot" w:pos="8844"/>
            </w:tabs>
            <w:ind w:firstLine="0" w:firstLineChars="0"/>
            <w:rPr>
              <w:szCs w:val="24"/>
            </w:rPr>
          </w:pPr>
          <w:r>
            <w:fldChar w:fldCharType="begin"/>
          </w:r>
          <w:r>
            <w:instrText xml:space="preserve"> HYPERLINK \l "_Toc31072" </w:instrText>
          </w:r>
          <w:r>
            <w:fldChar w:fldCharType="separate"/>
          </w:r>
          <w:r>
            <w:rPr>
              <w:rFonts w:ascii="黑体" w:eastAsia="黑体" w:cs="黑体"/>
              <w:snapToGrid w:val="0"/>
              <w:szCs w:val="24"/>
            </w:rPr>
            <w:t>三、区域环境质量现状、环境保护目标及评价标准</w:t>
          </w:r>
          <w:r>
            <w:rPr>
              <w:szCs w:val="24"/>
            </w:rPr>
            <w:tab/>
          </w:r>
          <w:r>
            <w:rPr>
              <w:szCs w:val="24"/>
            </w:rPr>
            <w:fldChar w:fldCharType="begin"/>
          </w:r>
          <w:r>
            <w:rPr>
              <w:szCs w:val="24"/>
            </w:rPr>
            <w:instrText xml:space="preserve"> PAGEREF _Toc31072 \h </w:instrText>
          </w:r>
          <w:r>
            <w:rPr>
              <w:szCs w:val="24"/>
            </w:rPr>
            <w:fldChar w:fldCharType="separate"/>
          </w:r>
          <w:r>
            <w:rPr>
              <w:szCs w:val="24"/>
            </w:rPr>
            <w:t>18</w:t>
          </w:r>
          <w:r>
            <w:rPr>
              <w:szCs w:val="24"/>
            </w:rPr>
            <w:fldChar w:fldCharType="end"/>
          </w:r>
          <w:r>
            <w:rPr>
              <w:szCs w:val="24"/>
            </w:rPr>
            <w:fldChar w:fldCharType="end"/>
          </w:r>
        </w:p>
        <w:p>
          <w:pPr>
            <w:pStyle w:val="21"/>
            <w:tabs>
              <w:tab w:val="right" w:leader="dot" w:pos="8844"/>
            </w:tabs>
            <w:ind w:firstLine="0" w:firstLineChars="0"/>
            <w:rPr>
              <w:szCs w:val="24"/>
            </w:rPr>
          </w:pPr>
          <w:r>
            <w:fldChar w:fldCharType="begin"/>
          </w:r>
          <w:r>
            <w:instrText xml:space="preserve"> HYPERLINK \l "_Toc16302" </w:instrText>
          </w:r>
          <w:r>
            <w:fldChar w:fldCharType="separate"/>
          </w:r>
          <w:r>
            <w:rPr>
              <w:rFonts w:ascii="黑体" w:eastAsia="黑体" w:cs="黑体"/>
              <w:snapToGrid w:val="0"/>
              <w:szCs w:val="24"/>
            </w:rPr>
            <w:t>四、主要环境影响和保护措施</w:t>
          </w:r>
          <w:r>
            <w:rPr>
              <w:szCs w:val="24"/>
            </w:rPr>
            <w:tab/>
          </w:r>
          <w:r>
            <w:rPr>
              <w:szCs w:val="24"/>
            </w:rPr>
            <w:fldChar w:fldCharType="begin"/>
          </w:r>
          <w:r>
            <w:rPr>
              <w:szCs w:val="24"/>
            </w:rPr>
            <w:instrText xml:space="preserve"> PAGEREF _Toc16302 \h </w:instrText>
          </w:r>
          <w:r>
            <w:rPr>
              <w:szCs w:val="24"/>
            </w:rPr>
            <w:fldChar w:fldCharType="separate"/>
          </w:r>
          <w:r>
            <w:rPr>
              <w:szCs w:val="24"/>
            </w:rPr>
            <w:t>23</w:t>
          </w:r>
          <w:r>
            <w:rPr>
              <w:szCs w:val="24"/>
            </w:rPr>
            <w:fldChar w:fldCharType="end"/>
          </w:r>
          <w:r>
            <w:rPr>
              <w:szCs w:val="24"/>
            </w:rPr>
            <w:fldChar w:fldCharType="end"/>
          </w:r>
        </w:p>
        <w:p>
          <w:pPr>
            <w:pStyle w:val="21"/>
            <w:tabs>
              <w:tab w:val="right" w:leader="dot" w:pos="8844"/>
            </w:tabs>
            <w:ind w:firstLine="0" w:firstLineChars="0"/>
            <w:rPr>
              <w:szCs w:val="24"/>
            </w:rPr>
          </w:pPr>
          <w:r>
            <w:fldChar w:fldCharType="begin"/>
          </w:r>
          <w:r>
            <w:instrText xml:space="preserve"> HYPERLINK \l "_Toc21488" </w:instrText>
          </w:r>
          <w:r>
            <w:fldChar w:fldCharType="separate"/>
          </w:r>
          <w:r>
            <w:rPr>
              <w:rFonts w:ascii="黑体" w:eastAsia="黑体" w:cs="黑体"/>
              <w:snapToGrid w:val="0"/>
              <w:szCs w:val="24"/>
            </w:rPr>
            <w:t>五、环境保护措施监督检查清单</w:t>
          </w:r>
          <w:r>
            <w:rPr>
              <w:szCs w:val="24"/>
            </w:rPr>
            <w:tab/>
          </w:r>
          <w:r>
            <w:rPr>
              <w:szCs w:val="24"/>
            </w:rPr>
            <w:fldChar w:fldCharType="begin"/>
          </w:r>
          <w:r>
            <w:rPr>
              <w:szCs w:val="24"/>
            </w:rPr>
            <w:instrText xml:space="preserve"> PAGEREF _Toc21488 \h </w:instrText>
          </w:r>
          <w:r>
            <w:rPr>
              <w:szCs w:val="24"/>
            </w:rPr>
            <w:fldChar w:fldCharType="separate"/>
          </w:r>
          <w:r>
            <w:rPr>
              <w:szCs w:val="24"/>
            </w:rPr>
            <w:t>46</w:t>
          </w:r>
          <w:r>
            <w:rPr>
              <w:szCs w:val="24"/>
            </w:rPr>
            <w:fldChar w:fldCharType="end"/>
          </w:r>
          <w:r>
            <w:rPr>
              <w:szCs w:val="24"/>
            </w:rPr>
            <w:fldChar w:fldCharType="end"/>
          </w:r>
        </w:p>
        <w:p>
          <w:pPr>
            <w:pStyle w:val="21"/>
            <w:tabs>
              <w:tab w:val="right" w:leader="dot" w:pos="8844"/>
            </w:tabs>
            <w:ind w:firstLine="0" w:firstLineChars="0"/>
            <w:rPr>
              <w:szCs w:val="24"/>
            </w:rPr>
          </w:pPr>
          <w:r>
            <w:fldChar w:fldCharType="begin"/>
          </w:r>
          <w:r>
            <w:instrText xml:space="preserve"> HYPERLINK \l "_Toc23912" </w:instrText>
          </w:r>
          <w:r>
            <w:fldChar w:fldCharType="separate"/>
          </w:r>
          <w:r>
            <w:rPr>
              <w:rFonts w:ascii="黑体" w:eastAsia="黑体" w:cs="黑体"/>
              <w:snapToGrid w:val="0"/>
              <w:szCs w:val="24"/>
            </w:rPr>
            <w:t>六、结论</w:t>
          </w:r>
          <w:r>
            <w:rPr>
              <w:szCs w:val="24"/>
            </w:rPr>
            <w:tab/>
          </w:r>
          <w:r>
            <w:rPr>
              <w:szCs w:val="24"/>
            </w:rPr>
            <w:fldChar w:fldCharType="begin"/>
          </w:r>
          <w:r>
            <w:rPr>
              <w:szCs w:val="24"/>
            </w:rPr>
            <w:instrText xml:space="preserve"> PAGEREF _Toc23912 \h </w:instrText>
          </w:r>
          <w:r>
            <w:rPr>
              <w:szCs w:val="24"/>
            </w:rPr>
            <w:fldChar w:fldCharType="separate"/>
          </w:r>
          <w:r>
            <w:rPr>
              <w:szCs w:val="24"/>
            </w:rPr>
            <w:t>48</w:t>
          </w:r>
          <w:r>
            <w:rPr>
              <w:szCs w:val="24"/>
            </w:rPr>
            <w:fldChar w:fldCharType="end"/>
          </w:r>
          <w:r>
            <w:rPr>
              <w:szCs w:val="24"/>
            </w:rPr>
            <w:fldChar w:fldCharType="end"/>
          </w:r>
        </w:p>
        <w:p>
          <w:pPr>
            <w:pStyle w:val="15"/>
            <w:ind w:firstLine="0" w:firstLineChars="0"/>
            <w:rPr>
              <w:sz w:val="21"/>
              <w:szCs w:val="21"/>
            </w:rPr>
          </w:pPr>
          <w:r>
            <w:rPr>
              <w:szCs w:val="24"/>
            </w:rPr>
            <w:fldChar w:fldCharType="end"/>
          </w:r>
          <w:bookmarkStart w:id="33" w:name="_GoBack"/>
          <w:bookmarkEnd w:id="33"/>
        </w:p>
      </w:sdtContent>
    </w:sdt>
    <w:p>
      <w:pPr>
        <w:adjustRightInd/>
        <w:snapToGrid/>
        <w:ind w:firstLine="0" w:firstLineChars="0"/>
        <w:rPr>
          <w:rFonts w:cs="Times New Roman"/>
          <w:b/>
          <w:bCs/>
          <w:sz w:val="21"/>
          <w:szCs w:val="21"/>
        </w:rPr>
      </w:pPr>
      <w:bookmarkStart w:id="2" w:name="_Toc11341"/>
      <w:r>
        <w:rPr>
          <w:rFonts w:hint="eastAsia" w:cs="Times New Roman"/>
          <w:b/>
          <w:bCs/>
          <w:sz w:val="21"/>
          <w:szCs w:val="21"/>
        </w:rPr>
        <w:t>附件：</w:t>
      </w:r>
    </w:p>
    <w:p>
      <w:pPr>
        <w:adjustRightInd/>
        <w:snapToGrid/>
        <w:ind w:firstLine="0" w:firstLineChars="0"/>
        <w:rPr>
          <w:rFonts w:cs="Times New Roman"/>
          <w:sz w:val="21"/>
          <w:szCs w:val="21"/>
        </w:rPr>
      </w:pPr>
      <w:r>
        <w:rPr>
          <w:rFonts w:cs="Times New Roman"/>
          <w:sz w:val="21"/>
          <w:szCs w:val="21"/>
        </w:rPr>
        <w:t>附件1  环评委托书</w:t>
      </w:r>
    </w:p>
    <w:p>
      <w:pPr>
        <w:adjustRightInd/>
        <w:snapToGrid/>
        <w:ind w:firstLine="0" w:firstLineChars="0"/>
        <w:rPr>
          <w:rFonts w:cs="Times New Roman"/>
          <w:sz w:val="21"/>
          <w:szCs w:val="21"/>
        </w:rPr>
      </w:pPr>
      <w:r>
        <w:rPr>
          <w:rFonts w:cs="Times New Roman"/>
          <w:sz w:val="21"/>
          <w:szCs w:val="21"/>
        </w:rPr>
        <w:t>附</w:t>
      </w:r>
      <w:r>
        <w:rPr>
          <w:rFonts w:hint="eastAsia" w:cs="Times New Roman"/>
          <w:sz w:val="21"/>
          <w:szCs w:val="21"/>
        </w:rPr>
        <w:t>件2</w:t>
      </w:r>
      <w:r>
        <w:rPr>
          <w:rFonts w:cs="Times New Roman"/>
          <w:sz w:val="21"/>
          <w:szCs w:val="21"/>
        </w:rPr>
        <w:t xml:space="preserve">  营业执照</w:t>
      </w:r>
    </w:p>
    <w:p>
      <w:pPr>
        <w:adjustRightInd/>
        <w:snapToGrid/>
        <w:ind w:firstLine="0" w:firstLineChars="0"/>
        <w:rPr>
          <w:rFonts w:cs="Times New Roman"/>
          <w:sz w:val="21"/>
          <w:szCs w:val="21"/>
        </w:rPr>
      </w:pPr>
      <w:r>
        <w:rPr>
          <w:rFonts w:hint="eastAsia" w:cs="Times New Roman"/>
          <w:sz w:val="21"/>
          <w:szCs w:val="21"/>
        </w:rPr>
        <w:t>附件3  备案证明</w:t>
      </w:r>
    </w:p>
    <w:p>
      <w:pPr>
        <w:adjustRightInd/>
        <w:snapToGrid/>
        <w:ind w:firstLine="0" w:firstLineChars="0"/>
        <w:rPr>
          <w:rFonts w:cs="Times New Roman"/>
          <w:sz w:val="21"/>
          <w:szCs w:val="21"/>
        </w:rPr>
      </w:pPr>
      <w:r>
        <w:rPr>
          <w:rFonts w:hint="eastAsia" w:cs="Times New Roman"/>
          <w:sz w:val="21"/>
          <w:szCs w:val="21"/>
        </w:rPr>
        <w:t>附件4  钢结构桥梁生产项目进区协议</w:t>
      </w:r>
    </w:p>
    <w:p>
      <w:pPr>
        <w:adjustRightInd/>
        <w:snapToGrid/>
        <w:ind w:firstLine="0" w:firstLineChars="0"/>
        <w:rPr>
          <w:rFonts w:cs="Times New Roman"/>
          <w:sz w:val="21"/>
          <w:szCs w:val="21"/>
        </w:rPr>
      </w:pPr>
      <w:r>
        <w:rPr>
          <w:rFonts w:hint="eastAsia" w:cs="Times New Roman"/>
          <w:sz w:val="21"/>
          <w:szCs w:val="21"/>
        </w:rPr>
        <w:t>附件5  不动产权证</w:t>
      </w:r>
    </w:p>
    <w:p>
      <w:pPr>
        <w:adjustRightInd/>
        <w:snapToGrid/>
        <w:ind w:firstLine="0" w:firstLineChars="0"/>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附件6  检测报告</w:t>
      </w:r>
    </w:p>
    <w:p>
      <w:pPr>
        <w:adjustRightInd/>
        <w:snapToGrid/>
        <w:ind w:firstLine="0" w:firstLineChars="0"/>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附件7  承诺书</w:t>
      </w:r>
    </w:p>
    <w:p>
      <w:pPr>
        <w:adjustRightInd/>
        <w:snapToGrid/>
        <w:ind w:firstLine="0" w:firstLineChars="0"/>
        <w:rPr>
          <w:rFonts w:cs="Times New Roman"/>
          <w:b/>
          <w:bCs/>
          <w:sz w:val="21"/>
          <w:szCs w:val="21"/>
        </w:rPr>
      </w:pPr>
      <w:r>
        <w:rPr>
          <w:rFonts w:hint="eastAsia" w:cs="Times New Roman"/>
          <w:b/>
          <w:bCs/>
          <w:sz w:val="21"/>
          <w:szCs w:val="21"/>
        </w:rPr>
        <w:t>附图：</w:t>
      </w:r>
    </w:p>
    <w:p>
      <w:pPr>
        <w:adjustRightInd/>
        <w:snapToGrid/>
        <w:ind w:firstLine="0" w:firstLineChars="0"/>
        <w:rPr>
          <w:rFonts w:cs="Times New Roman"/>
          <w:sz w:val="21"/>
          <w:szCs w:val="21"/>
        </w:rPr>
      </w:pPr>
      <w:r>
        <w:rPr>
          <w:rFonts w:cs="Times New Roman"/>
          <w:sz w:val="21"/>
          <w:szCs w:val="21"/>
        </w:rPr>
        <w:t>附图1  项目地理位置图</w:t>
      </w:r>
    </w:p>
    <w:p>
      <w:pPr>
        <w:adjustRightInd/>
        <w:snapToGrid/>
        <w:ind w:firstLine="0" w:firstLineChars="0"/>
        <w:rPr>
          <w:rFonts w:cs="Times New Roman"/>
          <w:sz w:val="21"/>
          <w:szCs w:val="21"/>
        </w:rPr>
      </w:pPr>
      <w:r>
        <w:rPr>
          <w:rFonts w:cs="Times New Roman"/>
          <w:sz w:val="21"/>
          <w:szCs w:val="21"/>
        </w:rPr>
        <w:t>附图2  项目总平面布置图</w:t>
      </w:r>
    </w:p>
    <w:p>
      <w:pPr>
        <w:adjustRightInd/>
        <w:snapToGrid/>
        <w:ind w:firstLine="0" w:firstLineChars="0"/>
        <w:rPr>
          <w:rFonts w:cs="Times New Roman"/>
          <w:sz w:val="21"/>
          <w:szCs w:val="21"/>
        </w:rPr>
      </w:pPr>
      <w:r>
        <w:rPr>
          <w:rFonts w:cs="Times New Roman"/>
          <w:sz w:val="21"/>
          <w:szCs w:val="21"/>
        </w:rPr>
        <w:t xml:space="preserve">附图3  </w:t>
      </w:r>
      <w:r>
        <w:rPr>
          <w:rFonts w:hint="eastAsia" w:cs="Times New Roman"/>
          <w:sz w:val="21"/>
          <w:szCs w:val="21"/>
        </w:rPr>
        <w:t>车间布置图</w:t>
      </w:r>
    </w:p>
    <w:p>
      <w:pPr>
        <w:adjustRightInd/>
        <w:snapToGrid/>
        <w:ind w:firstLine="0" w:firstLineChars="0"/>
        <w:rPr>
          <w:rFonts w:cs="Times New Roman"/>
          <w:sz w:val="21"/>
          <w:szCs w:val="21"/>
        </w:rPr>
      </w:pPr>
      <w:r>
        <w:rPr>
          <w:rFonts w:hint="eastAsia" w:cs="Times New Roman"/>
          <w:sz w:val="21"/>
          <w:szCs w:val="21"/>
        </w:rPr>
        <w:t>附图4  用地范围红线图</w:t>
      </w:r>
    </w:p>
    <w:p>
      <w:pPr>
        <w:adjustRightInd/>
        <w:snapToGrid/>
        <w:ind w:firstLine="0" w:firstLineChars="0"/>
        <w:rPr>
          <w:rFonts w:cs="Times New Roman"/>
          <w:sz w:val="21"/>
          <w:szCs w:val="21"/>
        </w:rPr>
      </w:pPr>
      <w:r>
        <w:rPr>
          <w:rFonts w:hint="eastAsia" w:cs="Times New Roman"/>
          <w:sz w:val="21"/>
          <w:szCs w:val="21"/>
        </w:rPr>
        <w:t>附图</w:t>
      </w:r>
      <w:r>
        <w:rPr>
          <w:rFonts w:cs="Times New Roman"/>
          <w:sz w:val="21"/>
          <w:szCs w:val="21"/>
        </w:rPr>
        <w:t xml:space="preserve">5  </w:t>
      </w:r>
      <w:r>
        <w:rPr>
          <w:rFonts w:hint="eastAsia" w:cs="Times New Roman"/>
          <w:sz w:val="21"/>
          <w:szCs w:val="21"/>
        </w:rPr>
        <w:t>岳阳楼区生态保护红线图</w:t>
      </w:r>
    </w:p>
    <w:p>
      <w:pPr>
        <w:adjustRightInd/>
        <w:snapToGrid/>
        <w:ind w:firstLine="0" w:firstLineChars="0"/>
        <w:rPr>
          <w:rFonts w:cs="Times New Roman"/>
          <w:sz w:val="21"/>
          <w:szCs w:val="21"/>
        </w:rPr>
      </w:pPr>
      <w:r>
        <w:rPr>
          <w:rFonts w:hint="eastAsia" w:cs="Times New Roman"/>
          <w:sz w:val="21"/>
          <w:szCs w:val="21"/>
        </w:rPr>
        <w:t>附图6  大气环境保护目标</w:t>
      </w:r>
    </w:p>
    <w:p>
      <w:pPr>
        <w:adjustRightInd/>
        <w:snapToGrid/>
        <w:ind w:firstLine="0" w:firstLineChars="0"/>
        <w:rPr>
          <w:rFonts w:cs="Times New Roman"/>
          <w:sz w:val="21"/>
          <w:szCs w:val="21"/>
        </w:rPr>
      </w:pPr>
      <w:r>
        <w:rPr>
          <w:rFonts w:hint="eastAsia" w:cs="Times New Roman"/>
          <w:sz w:val="21"/>
          <w:szCs w:val="21"/>
        </w:rPr>
        <w:t>附图7</w:t>
      </w:r>
      <w:r>
        <w:rPr>
          <w:rFonts w:cs="Times New Roman"/>
          <w:sz w:val="21"/>
          <w:szCs w:val="21"/>
        </w:rPr>
        <w:t xml:space="preserve">  </w:t>
      </w:r>
      <w:r>
        <w:rPr>
          <w:rFonts w:hint="eastAsia" w:cs="Times New Roman"/>
          <w:sz w:val="21"/>
          <w:szCs w:val="21"/>
        </w:rPr>
        <w:t>岳阳市城市总体规划图</w:t>
      </w:r>
    </w:p>
    <w:p>
      <w:pPr>
        <w:adjustRightInd/>
        <w:snapToGrid/>
        <w:ind w:firstLine="0" w:firstLineChars="0"/>
        <w:rPr>
          <w:rFonts w:ascii="黑体" w:eastAsia="黑体" w:cs="黑体"/>
          <w:snapToGrid w:val="0"/>
          <w:sz w:val="21"/>
          <w:szCs w:val="21"/>
        </w:rPr>
      </w:pPr>
      <w:r>
        <w:rPr>
          <w:rFonts w:hint="eastAsia" w:cs="Times New Roman"/>
          <w:sz w:val="21"/>
          <w:szCs w:val="21"/>
        </w:rPr>
        <w:t>附图8</w:t>
      </w:r>
      <w:r>
        <w:rPr>
          <w:rFonts w:cs="Times New Roman"/>
          <w:sz w:val="21"/>
          <w:szCs w:val="21"/>
        </w:rPr>
        <w:t xml:space="preserve">  </w:t>
      </w:r>
      <w:r>
        <w:rPr>
          <w:rFonts w:hint="eastAsia" w:cs="Times New Roman"/>
          <w:sz w:val="21"/>
          <w:szCs w:val="21"/>
        </w:rPr>
        <w:t>岳阳市中心城区污水处理设施及管网示意图</w:t>
      </w:r>
    </w:p>
    <w:p>
      <w:pPr>
        <w:adjustRightInd/>
        <w:snapToGrid/>
        <w:ind w:firstLine="0" w:firstLineChars="0"/>
        <w:rPr>
          <w:rFonts w:hint="eastAsia" w:cs="Times New Roman"/>
          <w:b/>
          <w:bCs/>
          <w:sz w:val="21"/>
          <w:szCs w:val="21"/>
        </w:rPr>
      </w:pPr>
      <w:r>
        <w:rPr>
          <w:rFonts w:hint="eastAsia" w:cs="Times New Roman"/>
          <w:b/>
          <w:bCs/>
          <w:sz w:val="21"/>
          <w:szCs w:val="21"/>
        </w:rPr>
        <w:t>附表：</w:t>
      </w:r>
    </w:p>
    <w:p>
      <w:pPr>
        <w:adjustRightInd/>
        <w:snapToGrid/>
        <w:ind w:firstLine="0" w:firstLineChars="0"/>
        <w:rPr>
          <w:rFonts w:hint="eastAsia" w:cs="Times New Roman"/>
          <w:sz w:val="21"/>
          <w:szCs w:val="21"/>
        </w:rPr>
      </w:pPr>
      <w:r>
        <w:rPr>
          <w:rFonts w:hint="eastAsia" w:cs="Times New Roman"/>
          <w:sz w:val="21"/>
          <w:szCs w:val="21"/>
        </w:rPr>
        <w:t>附表1  建设项目大气环境影响评价自查表</w:t>
      </w:r>
    </w:p>
    <w:p>
      <w:pPr>
        <w:adjustRightInd/>
        <w:snapToGrid/>
        <w:ind w:firstLine="0" w:firstLineChars="0"/>
        <w:rPr>
          <w:rFonts w:hint="eastAsia" w:cs="Times New Roman"/>
          <w:sz w:val="21"/>
          <w:szCs w:val="21"/>
        </w:rPr>
      </w:pPr>
      <w:r>
        <w:rPr>
          <w:rFonts w:hint="eastAsia" w:cs="Times New Roman"/>
          <w:sz w:val="21"/>
          <w:szCs w:val="21"/>
        </w:rPr>
        <w:t>附表2  地表水环境影响评价自查表</w:t>
      </w:r>
    </w:p>
    <w:p>
      <w:pPr>
        <w:ind w:left="0" w:leftChars="0" w:firstLine="0" w:firstLineChars="0"/>
        <w:rPr>
          <w:rFonts w:ascii="黑体" w:eastAsia="黑体" w:cs="黑体"/>
          <w:snapToGrid w:val="0"/>
          <w:sz w:val="21"/>
          <w:szCs w:val="21"/>
        </w:rPr>
      </w:pPr>
      <w:r>
        <w:rPr>
          <w:rFonts w:ascii="黑体" w:eastAsia="黑体" w:cs="黑体"/>
          <w:snapToGrid w:val="0"/>
          <w:sz w:val="21"/>
          <w:szCs w:val="21"/>
        </w:rPr>
        <w:br w:type="page"/>
      </w:r>
    </w:p>
    <w:p>
      <w:pPr>
        <w:pStyle w:val="8"/>
        <w:ind w:firstLine="562"/>
      </w:pPr>
      <w:r>
        <w:rPr>
          <w:rFonts w:hint="eastAsia"/>
        </w:rPr>
        <w:t>有关情况的说明</w:t>
      </w:r>
    </w:p>
    <w:p>
      <w:pPr>
        <w:widowControl w:val="0"/>
        <w:ind w:firstLine="420"/>
        <w:jc w:val="both"/>
        <w:rPr>
          <w:rFonts w:cs="Times New Roman"/>
          <w:sz w:val="21"/>
          <w:szCs w:val="21"/>
        </w:rPr>
      </w:pPr>
      <w:r>
        <w:rPr>
          <w:rFonts w:hint="eastAsia" w:cs="Times New Roman"/>
          <w:sz w:val="21"/>
          <w:szCs w:val="21"/>
        </w:rPr>
        <w:t>钢结构及其配套产品是当今国内外最流行的新型建材，结构形式安全，高效施工，防腐蚀，防污染，理想的成型性和良好的装饰性，并且可进行二次利用， 节约能源，从而成为传统建筑的最佳替代产品。近年来，钢结构广泛应用于桥梁建设当中。伴随经济的高速发展，我国已进入现代桥梁建设新时代，这为钢结构桥梁提供了市场。</w:t>
      </w:r>
    </w:p>
    <w:p>
      <w:pPr>
        <w:ind w:firstLine="420"/>
        <w:rPr>
          <w:rFonts w:cs="Times New Roman"/>
          <w:sz w:val="21"/>
          <w:szCs w:val="21"/>
        </w:rPr>
      </w:pPr>
      <w:r>
        <w:rPr>
          <w:rFonts w:hint="eastAsia" w:cs="Times New Roman"/>
          <w:sz w:val="21"/>
          <w:szCs w:val="21"/>
        </w:rPr>
        <w:t>岳阳威尔重工有限公司原建设地位于岳阳楼区，是一家生产桥梁钢结构的企业，拟搬迁至岳阳经济技术开发区新园路以南金凤桥路以东木里港工业园，建设桥梁钢结构（3.25万t/a）生产项目。属于岳阳经济技术开发区引进的重点项目，于2018年9月在岳阳经济技术开发区发改委取得了立项的备案证明，见附件3。与岳阳经济技术开发区于2018年7月签订了入园协议，见附件4。于2020年5月21日获得不动产权证，见附件5。</w:t>
      </w:r>
    </w:p>
    <w:p>
      <w:pPr>
        <w:ind w:firstLine="420"/>
        <w:rPr>
          <w:sz w:val="21"/>
          <w:szCs w:val="21"/>
        </w:rPr>
      </w:pPr>
      <w:r>
        <w:rPr>
          <w:rFonts w:hint="eastAsia" w:cs="Times New Roman"/>
          <w:sz w:val="21"/>
          <w:szCs w:val="21"/>
        </w:rPr>
        <w:t>岳阳威尔重工有限公司</w:t>
      </w:r>
      <w:r>
        <w:rPr>
          <w:rFonts w:cs="Times New Roman"/>
          <w:kern w:val="2"/>
          <w:sz w:val="21"/>
          <w:szCs w:val="21"/>
        </w:rPr>
        <w:t>委托湖南志远环境咨询服务有限公司承担了《</w:t>
      </w:r>
      <w:r>
        <w:rPr>
          <w:rFonts w:hint="eastAsia" w:cs="Times New Roman"/>
          <w:sz w:val="21"/>
          <w:szCs w:val="21"/>
        </w:rPr>
        <w:t xml:space="preserve">桥梁钢结构（3.25万t/a）生产项目 </w:t>
      </w:r>
      <w:r>
        <w:rPr>
          <w:rFonts w:cs="Times New Roman"/>
          <w:kern w:val="2"/>
          <w:sz w:val="21"/>
          <w:szCs w:val="21"/>
        </w:rPr>
        <w:t>》的环境影响评价工作</w:t>
      </w:r>
      <w:r>
        <w:rPr>
          <w:rFonts w:hint="eastAsia" w:cs="Times New Roman"/>
          <w:kern w:val="2"/>
          <w:sz w:val="21"/>
          <w:szCs w:val="21"/>
        </w:rPr>
        <w:t>，</w:t>
      </w:r>
      <w:r>
        <w:rPr>
          <w:rFonts w:hint="eastAsia" w:cs="Times New Roman"/>
          <w:sz w:val="21"/>
          <w:szCs w:val="21"/>
        </w:rPr>
        <w:t>与湖南志远环境咨询服务有限公司于2020年3月26日签订合同</w:t>
      </w:r>
      <w:r>
        <w:rPr>
          <w:rFonts w:cs="Times New Roman"/>
          <w:kern w:val="2"/>
          <w:sz w:val="21"/>
          <w:szCs w:val="21"/>
        </w:rPr>
        <w:t>。</w:t>
      </w:r>
    </w:p>
    <w:p>
      <w:pPr>
        <w:ind w:firstLine="420"/>
        <w:rPr>
          <w:rFonts w:cs="Times New Roman"/>
          <w:kern w:val="2"/>
          <w:sz w:val="21"/>
          <w:szCs w:val="21"/>
        </w:rPr>
      </w:pPr>
      <w:r>
        <w:rPr>
          <w:rFonts w:cs="Times New Roman"/>
          <w:kern w:val="2"/>
          <w:sz w:val="21"/>
          <w:szCs w:val="21"/>
        </w:rPr>
        <w:t xml:space="preserve">根据《建设项目环境保护管理条例》（国务院第 682 号令）及《建设项目环境影响评价分类管理名录》 </w:t>
      </w:r>
      <w:r>
        <w:rPr>
          <w:rFonts w:hint="eastAsia" w:cs="Times New Roman"/>
          <w:kern w:val="2"/>
          <w:sz w:val="21"/>
          <w:szCs w:val="21"/>
        </w:rPr>
        <w:t>（环境保护部令第44号）</w:t>
      </w:r>
      <w:r>
        <w:rPr>
          <w:rFonts w:cs="Times New Roman"/>
          <w:kern w:val="2"/>
          <w:sz w:val="21"/>
          <w:szCs w:val="21"/>
        </w:rPr>
        <w:t>(2018年4月28日)，本项目环境影响评价行业类别为“</w:t>
      </w:r>
      <w:r>
        <w:rPr>
          <w:rFonts w:hint="eastAsia" w:cs="Times New Roman"/>
          <w:kern w:val="2"/>
          <w:sz w:val="21"/>
          <w:szCs w:val="21"/>
        </w:rPr>
        <w:t xml:space="preserve"> 二十二、金属制品业 67 金属制品加工制造 </w:t>
      </w:r>
      <w:r>
        <w:rPr>
          <w:rFonts w:cs="Times New Roman"/>
          <w:kern w:val="2"/>
          <w:sz w:val="21"/>
          <w:szCs w:val="21"/>
        </w:rPr>
        <w:t>”</w:t>
      </w:r>
      <w:r>
        <w:rPr>
          <w:rFonts w:hint="eastAsia" w:cs="Times New Roman"/>
          <w:kern w:val="2"/>
          <w:sz w:val="21"/>
          <w:szCs w:val="21"/>
        </w:rPr>
        <w:t>中的“其他(仅切割组装除外)”</w:t>
      </w:r>
      <w:r>
        <w:rPr>
          <w:rFonts w:cs="Times New Roman"/>
          <w:kern w:val="2"/>
          <w:sz w:val="21"/>
          <w:szCs w:val="21"/>
        </w:rPr>
        <w:t>，要求以报告表的形式对本项目进行环境影响评价。</w:t>
      </w:r>
      <w:r>
        <w:rPr>
          <w:rFonts w:hint="eastAsia" w:cs="Times New Roman"/>
          <w:kern w:val="2"/>
          <w:sz w:val="21"/>
          <w:szCs w:val="21"/>
        </w:rPr>
        <w:t>我公司接受委托后按照</w:t>
      </w:r>
      <w:r>
        <w:rPr>
          <w:rFonts w:cs="Times New Roman"/>
          <w:kern w:val="2"/>
          <w:sz w:val="21"/>
          <w:szCs w:val="21"/>
        </w:rPr>
        <w:t>《建设项目环境影响评价分类管理名录》 (2018年4月28日)</w:t>
      </w:r>
      <w:r>
        <w:rPr>
          <w:rFonts w:hint="eastAsia" w:cs="Times New Roman"/>
          <w:kern w:val="2"/>
          <w:sz w:val="21"/>
          <w:szCs w:val="21"/>
        </w:rPr>
        <w:t>于</w:t>
      </w:r>
      <w:r>
        <w:rPr>
          <w:rFonts w:cs="Times New Roman"/>
          <w:kern w:val="2"/>
          <w:sz w:val="21"/>
          <w:szCs w:val="21"/>
        </w:rPr>
        <w:t>2020年</w:t>
      </w:r>
      <w:r>
        <w:rPr>
          <w:rFonts w:hint="eastAsia" w:cs="Times New Roman"/>
          <w:kern w:val="2"/>
          <w:sz w:val="21"/>
          <w:szCs w:val="21"/>
        </w:rPr>
        <w:t>5</w:t>
      </w:r>
      <w:r>
        <w:rPr>
          <w:rFonts w:cs="Times New Roman"/>
          <w:kern w:val="2"/>
          <w:sz w:val="21"/>
          <w:szCs w:val="21"/>
        </w:rPr>
        <w:t>月</w:t>
      </w:r>
      <w:r>
        <w:rPr>
          <w:rFonts w:hint="eastAsia" w:cs="Times New Roman"/>
          <w:kern w:val="2"/>
          <w:sz w:val="21"/>
          <w:szCs w:val="21"/>
        </w:rPr>
        <w:t>15</w:t>
      </w:r>
      <w:r>
        <w:rPr>
          <w:rFonts w:cs="Times New Roman"/>
          <w:kern w:val="2"/>
          <w:sz w:val="21"/>
          <w:szCs w:val="21"/>
        </w:rPr>
        <w:t>日</w:t>
      </w:r>
      <w:r>
        <w:rPr>
          <w:rFonts w:hint="eastAsia" w:cs="Times New Roman"/>
          <w:kern w:val="2"/>
          <w:sz w:val="21"/>
          <w:szCs w:val="21"/>
        </w:rPr>
        <w:t>完成环评报告表初稿，由于企业生产工艺发生了调整，最终送审稿送审时间为2020年11月，按专家审查意见修改完成后，报批时间拖延至2021年，</w:t>
      </w:r>
      <w:r>
        <w:rPr>
          <w:rFonts w:cs="Times New Roman"/>
          <w:kern w:val="2"/>
          <w:sz w:val="21"/>
          <w:szCs w:val="21"/>
        </w:rPr>
        <w:t>《建设项目环境影响评价分类管理名录》</w:t>
      </w:r>
      <w:r>
        <w:rPr>
          <w:rFonts w:hint="eastAsia" w:cs="Times New Roman"/>
          <w:kern w:val="2"/>
          <w:sz w:val="21"/>
          <w:szCs w:val="21"/>
        </w:rPr>
        <w:t>（2021年版）于2021年1月1日起施行，《建设项目环境影响评价分类管理名录》（环境保护部令第44号）及《关于修改〈建设项目环境影响评价分类管理名录〉部分内容的决定》（生态环境部令第1号）同时废止。</w:t>
      </w:r>
    </w:p>
    <w:p>
      <w:pPr>
        <w:ind w:firstLine="420"/>
        <w:rPr>
          <w:rFonts w:ascii="微软雅黑" w:hAnsi="微软雅黑" w:eastAsia="微软雅黑" w:cs="微软雅黑"/>
          <w:sz w:val="21"/>
          <w:szCs w:val="21"/>
          <w:shd w:val="clear" w:color="auto" w:fill="FFFFFF"/>
          <w:lang w:bidi="ar"/>
        </w:rPr>
      </w:pPr>
      <w:r>
        <w:rPr>
          <w:rFonts w:hint="eastAsia" w:cs="Times New Roman"/>
          <w:kern w:val="2"/>
          <w:sz w:val="21"/>
          <w:szCs w:val="21"/>
        </w:rPr>
        <w:t>生态环境部办公厅2020年12月23日印发了《关于印发&lt;建设项目环境影响报告表&gt;内容、格式及编制技术指南的通知》（环办环评〔2020〕33号），修订了《建设项目环境影响报告表》内容及格式。根据建设项目环境影响特点将报告表分为污染影响类和生态影响类，配套制定了《</w:t>
      </w:r>
      <w:r>
        <w:rPr>
          <w:rFonts w:hint="eastAsia"/>
        </w:rPr>
        <w:fldChar w:fldCharType="begin"/>
      </w:r>
      <w:r>
        <w:instrText xml:space="preserve"> HYPERLINK "http://www.mee.gov.cn/xxgk2018/xxgk/xxgk05/202101/W020210104371003931528.pdf" </w:instrText>
      </w:r>
      <w:r>
        <w:rPr>
          <w:rFonts w:hint="eastAsia"/>
        </w:rPr>
        <w:fldChar w:fldCharType="separate"/>
      </w:r>
      <w:r>
        <w:rPr>
          <w:rFonts w:hint="eastAsia" w:cs="Times New Roman"/>
          <w:kern w:val="2"/>
          <w:sz w:val="21"/>
          <w:szCs w:val="21"/>
        </w:rPr>
        <w:t>建设项目环境影响报告表编制技术指南（污染影响类）（试行）</w:t>
      </w:r>
      <w:r>
        <w:rPr>
          <w:rFonts w:hint="eastAsia" w:cs="Times New Roman"/>
          <w:kern w:val="2"/>
          <w:sz w:val="21"/>
          <w:szCs w:val="21"/>
        </w:rPr>
        <w:fldChar w:fldCharType="end"/>
      </w:r>
      <w:r>
        <w:rPr>
          <w:rFonts w:hint="eastAsia" w:cs="Times New Roman"/>
          <w:kern w:val="2"/>
          <w:sz w:val="21"/>
          <w:szCs w:val="21"/>
        </w:rPr>
        <w:t>》和《</w:t>
      </w:r>
      <w:r>
        <w:fldChar w:fldCharType="begin"/>
      </w:r>
      <w:r>
        <w:instrText xml:space="preserve"> HYPERLINK "http://www.mee.gov.cn/xxgk2018/xxgk/xxgk05/202101/W020210104371004465028.pdf" </w:instrText>
      </w:r>
      <w:r>
        <w:fldChar w:fldCharType="separate"/>
      </w:r>
      <w:r>
        <w:rPr>
          <w:rFonts w:hint="eastAsia" w:cs="Times New Roman"/>
          <w:kern w:val="2"/>
          <w:sz w:val="21"/>
          <w:szCs w:val="21"/>
        </w:rPr>
        <w:t>建设项目环境影响报告表编制技术指南（生态影响类）（试行）</w:t>
      </w:r>
      <w:r>
        <w:rPr>
          <w:rFonts w:hint="eastAsia" w:cs="Times New Roman"/>
          <w:kern w:val="2"/>
          <w:sz w:val="21"/>
          <w:szCs w:val="21"/>
        </w:rPr>
        <w:fldChar w:fldCharType="end"/>
      </w:r>
      <w:r>
        <w:rPr>
          <w:rFonts w:hint="eastAsia" w:cs="Times New Roman"/>
          <w:kern w:val="2"/>
          <w:sz w:val="21"/>
          <w:szCs w:val="21"/>
        </w:rPr>
        <w:t>》，自2021年4月1日起实施。自实施之日起，原国家环境保护总局印发的《关于公布〈建设项目环境影响报告表〉（试行）和〈建设项目环境影响登记表〉（试行）内容及格式的通知》（环发〔1999〕178号）废止。因此，我公司最终对报告按照新的名录和格式进行了修改。</w:t>
      </w:r>
      <w:r>
        <w:rPr>
          <w:rFonts w:cs="Times New Roman"/>
          <w:kern w:val="2"/>
          <w:sz w:val="21"/>
          <w:szCs w:val="21"/>
        </w:rPr>
        <w:t>现提交主管部门审查、审批。</w:t>
      </w:r>
    </w:p>
    <w:p>
      <w:pPr>
        <w:ind w:firstLine="420"/>
        <w:rPr>
          <w:rFonts w:ascii="黑体" w:eastAsia="黑体" w:cs="黑体"/>
          <w:snapToGrid w:val="0"/>
          <w:sz w:val="21"/>
          <w:szCs w:val="21"/>
        </w:rPr>
      </w:pPr>
      <w:r>
        <w:rPr>
          <w:rFonts w:ascii="黑体" w:eastAsia="黑体" w:cs="黑体"/>
          <w:snapToGrid w:val="0"/>
          <w:sz w:val="21"/>
          <w:szCs w:val="21"/>
        </w:rPr>
        <w:br w:type="page"/>
      </w:r>
    </w:p>
    <w:p>
      <w:pPr>
        <w:ind w:firstLine="420"/>
        <w:rPr>
          <w:rFonts w:ascii="黑体" w:eastAsia="黑体" w:cs="黑体"/>
          <w:snapToGrid w:val="0"/>
          <w:sz w:val="21"/>
          <w:szCs w:val="21"/>
        </w:rPr>
        <w:sectPr>
          <w:footerReference r:id="rId11" w:type="default"/>
          <w:pgSz w:w="11906" w:h="16838"/>
          <w:pgMar w:top="1702" w:right="1531" w:bottom="1702" w:left="1531" w:header="851" w:footer="1077" w:gutter="0"/>
          <w:pgNumType w:start="1"/>
          <w:cols w:space="425" w:num="1"/>
          <w:docGrid w:type="lines" w:linePitch="312" w:charSpace="0"/>
        </w:sectPr>
      </w:pPr>
    </w:p>
    <w:p>
      <w:pPr>
        <w:pStyle w:val="8"/>
        <w:ind w:firstLine="562"/>
      </w:pPr>
      <w:r>
        <w:rPr>
          <w:rFonts w:hint="eastAsia"/>
        </w:rPr>
        <w:t>一、</w:t>
      </w:r>
      <w:r>
        <w:t>建设项目基本情况</w:t>
      </w:r>
      <w:bookmarkEnd w:id="2"/>
    </w:p>
    <w:tbl>
      <w:tblPr>
        <w:tblStyle w:val="25"/>
        <w:tblW w:w="4991"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2166"/>
        <w:gridCol w:w="2322"/>
        <w:gridCol w:w="1824"/>
        <w:gridCol w:w="254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03" w:hRule="atLeast"/>
          <w:jc w:val="center"/>
        </w:trPr>
        <w:tc>
          <w:tcPr>
            <w:tcW w:w="1223" w:type="pct"/>
            <w:tcBorders>
              <w:top w:val="single" w:color="auto" w:sz="8"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建设项目名称</w:t>
            </w:r>
          </w:p>
        </w:tc>
        <w:tc>
          <w:tcPr>
            <w:tcW w:w="3776" w:type="pct"/>
            <w:gridSpan w:val="3"/>
            <w:tcBorders>
              <w:top w:val="single" w:color="auto" w:sz="8" w:space="0"/>
              <w:left w:val="single" w:color="auto" w:sz="4" w:space="0"/>
              <w:bottom w:val="single" w:color="auto" w:sz="4" w:space="0"/>
              <w:right w:val="single" w:color="auto" w:sz="8" w:space="0"/>
            </w:tcBorders>
            <w:shd w:val="clear" w:color="auto" w:fill="auto"/>
            <w:vAlign w:val="center"/>
          </w:tcPr>
          <w:p>
            <w:pPr>
              <w:keepNext w:val="0"/>
              <w:keepLines w:val="0"/>
              <w:widowControl/>
              <w:suppressLineNumbers w:val="0"/>
              <w:spacing w:before="0" w:beforeAutospacing="0" w:after="0" w:afterAutospacing="0"/>
              <w:ind w:left="0" w:right="0" w:firstLine="420"/>
              <w:jc w:val="center"/>
              <w:rPr>
                <w:rFonts w:hint="default" w:cs="Times New Roman"/>
                <w:sz w:val="21"/>
                <w:szCs w:val="21"/>
              </w:rPr>
            </w:pPr>
            <w:r>
              <w:rPr>
                <w:rFonts w:hint="default" w:cs="Times New Roman"/>
                <w:sz w:val="21"/>
                <w:szCs w:val="21"/>
              </w:rPr>
              <w:t>桥梁钢结构（3.25万t/a）生产项目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44"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项目代码</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2018-430656-41-03-026414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建设单位联系人</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rPr>
              <w:t>李刚</w:t>
            </w:r>
          </w:p>
        </w:tc>
        <w:tc>
          <w:tcPr>
            <w:tcW w:w="103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联系方式</w:t>
            </w:r>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rPr>
              <w:t>19976923979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建设地点</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u w:val="single"/>
                <w:lang w:bidi="ar"/>
              </w:rPr>
              <w:t xml:space="preserve">  湖南  </w:t>
            </w:r>
            <w:r>
              <w:rPr>
                <w:rFonts w:hint="default" w:cs="Times New Roman"/>
                <w:kern w:val="2"/>
                <w:sz w:val="21"/>
                <w:szCs w:val="21"/>
                <w:lang w:bidi="ar"/>
              </w:rPr>
              <w:t>省（自治区）</w:t>
            </w:r>
            <w:r>
              <w:rPr>
                <w:rFonts w:hint="default" w:cs="Times New Roman"/>
                <w:kern w:val="2"/>
                <w:sz w:val="21"/>
                <w:szCs w:val="21"/>
                <w:u w:val="single"/>
                <w:lang w:bidi="ar"/>
              </w:rPr>
              <w:t xml:space="preserve"> 岳阳   </w:t>
            </w:r>
            <w:r>
              <w:rPr>
                <w:rFonts w:hint="default" w:cs="Times New Roman"/>
                <w:kern w:val="2"/>
                <w:sz w:val="21"/>
                <w:szCs w:val="21"/>
                <w:lang w:bidi="ar"/>
              </w:rPr>
              <w:t>市</w:t>
            </w:r>
            <w:r>
              <w:rPr>
                <w:rFonts w:hint="default" w:cs="Times New Roman"/>
                <w:kern w:val="2"/>
                <w:sz w:val="21"/>
                <w:szCs w:val="21"/>
                <w:u w:val="single"/>
                <w:lang w:bidi="ar"/>
              </w:rPr>
              <w:t xml:space="preserve">   岳阳楼区 </w:t>
            </w:r>
            <w:r>
              <w:rPr>
                <w:rFonts w:hint="default" w:cs="Times New Roman"/>
                <w:kern w:val="2"/>
                <w:sz w:val="21"/>
                <w:szCs w:val="21"/>
                <w:lang w:bidi="ar"/>
              </w:rPr>
              <w:t>县（区）</w:t>
            </w:r>
            <w:r>
              <w:rPr>
                <w:rFonts w:hint="default" w:cs="Times New Roman"/>
                <w:kern w:val="2"/>
                <w:sz w:val="21"/>
                <w:szCs w:val="21"/>
                <w:u w:val="single"/>
                <w:lang w:bidi="ar"/>
              </w:rPr>
              <w:t xml:space="preserve"> </w:t>
            </w:r>
            <w:r>
              <w:rPr>
                <w:rFonts w:hint="default" w:cs="Times New Roman"/>
                <w:sz w:val="21"/>
                <w:szCs w:val="21"/>
                <w:u w:val="single"/>
              </w:rPr>
              <w:t>岳阳经济技术开发区新园路路以南金凤桥路以东木里港工业园</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78"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地理坐标</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w:t>
            </w:r>
            <w:r>
              <w:rPr>
                <w:rFonts w:hint="default" w:cs="Times New Roman"/>
                <w:kern w:val="2"/>
                <w:sz w:val="21"/>
                <w:szCs w:val="21"/>
                <w:u w:val="single"/>
                <w:lang w:bidi="ar"/>
              </w:rPr>
              <w:t xml:space="preserve"> 113 </w:t>
            </w:r>
            <w:r>
              <w:rPr>
                <w:rFonts w:hint="default" w:cs="Times New Roman"/>
                <w:kern w:val="2"/>
                <w:sz w:val="21"/>
                <w:szCs w:val="21"/>
                <w:lang w:bidi="ar"/>
              </w:rPr>
              <w:t>度</w:t>
            </w:r>
            <w:r>
              <w:rPr>
                <w:rFonts w:hint="default" w:cs="Times New Roman"/>
                <w:kern w:val="2"/>
                <w:sz w:val="21"/>
                <w:szCs w:val="21"/>
                <w:u w:val="single"/>
                <w:lang w:bidi="ar"/>
              </w:rPr>
              <w:t xml:space="preserve"> 11 </w:t>
            </w:r>
            <w:r>
              <w:rPr>
                <w:rFonts w:hint="default" w:cs="Times New Roman"/>
                <w:kern w:val="2"/>
                <w:sz w:val="21"/>
                <w:szCs w:val="21"/>
                <w:lang w:bidi="ar"/>
              </w:rPr>
              <w:t>分</w:t>
            </w:r>
            <w:r>
              <w:rPr>
                <w:rFonts w:hint="default" w:cs="Times New Roman"/>
                <w:kern w:val="2"/>
                <w:sz w:val="21"/>
                <w:szCs w:val="21"/>
                <w:u w:val="single"/>
                <w:lang w:bidi="ar"/>
              </w:rPr>
              <w:t xml:space="preserve">  16.73 </w:t>
            </w:r>
            <w:r>
              <w:rPr>
                <w:rFonts w:hint="default" w:cs="Times New Roman"/>
                <w:kern w:val="2"/>
                <w:sz w:val="21"/>
                <w:szCs w:val="21"/>
                <w:lang w:bidi="ar"/>
              </w:rPr>
              <w:t>秒，</w:t>
            </w:r>
            <w:r>
              <w:rPr>
                <w:rFonts w:hint="default" w:cs="Times New Roman"/>
                <w:kern w:val="2"/>
                <w:sz w:val="21"/>
                <w:szCs w:val="21"/>
                <w:u w:val="single"/>
                <w:lang w:bidi="ar"/>
              </w:rPr>
              <w:t xml:space="preserve">  29  </w:t>
            </w:r>
            <w:r>
              <w:rPr>
                <w:rFonts w:hint="default" w:cs="Times New Roman"/>
                <w:kern w:val="2"/>
                <w:sz w:val="21"/>
                <w:szCs w:val="21"/>
                <w:lang w:bidi="ar"/>
              </w:rPr>
              <w:t>度</w:t>
            </w:r>
            <w:r>
              <w:rPr>
                <w:rFonts w:hint="default" w:cs="Times New Roman"/>
                <w:kern w:val="2"/>
                <w:sz w:val="21"/>
                <w:szCs w:val="21"/>
                <w:u w:val="single"/>
                <w:lang w:bidi="ar"/>
              </w:rPr>
              <w:t xml:space="preserve">  20  </w:t>
            </w:r>
            <w:r>
              <w:rPr>
                <w:rFonts w:hint="default" w:cs="Times New Roman"/>
                <w:kern w:val="2"/>
                <w:sz w:val="21"/>
                <w:szCs w:val="21"/>
                <w:lang w:bidi="ar"/>
              </w:rPr>
              <w:t>分</w:t>
            </w:r>
            <w:r>
              <w:rPr>
                <w:rFonts w:hint="default" w:cs="Times New Roman"/>
                <w:kern w:val="2"/>
                <w:sz w:val="21"/>
                <w:szCs w:val="21"/>
                <w:u w:val="single"/>
                <w:lang w:bidi="ar"/>
              </w:rPr>
              <w:t xml:space="preserve"> 5.43 </w:t>
            </w:r>
            <w:r>
              <w:rPr>
                <w:rFonts w:hint="default" w:cs="Times New Roman"/>
                <w:kern w:val="2"/>
                <w:sz w:val="21"/>
                <w:szCs w:val="21"/>
                <w:lang w:bidi="ar"/>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1"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国民经济</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行业类别</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rPr>
              <w:t>C3311  金属结构制造</w:t>
            </w:r>
          </w:p>
        </w:tc>
        <w:tc>
          <w:tcPr>
            <w:tcW w:w="103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bookmarkStart w:id="3" w:name="_Hlk49843745"/>
            <w:r>
              <w:rPr>
                <w:rFonts w:hint="default" w:cs="Times New Roman"/>
                <w:kern w:val="2"/>
                <w:sz w:val="21"/>
                <w:szCs w:val="21"/>
                <w:lang w:bidi="ar"/>
              </w:rPr>
              <w:t>建设项目</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行业类别</w:t>
            </w:r>
            <w:bookmarkEnd w:id="3"/>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both"/>
              <w:rPr>
                <w:rFonts w:hint="default" w:cs="Times New Roman"/>
                <w:sz w:val="21"/>
                <w:szCs w:val="21"/>
                <w:u w:val="single"/>
              </w:rPr>
            </w:pPr>
            <w:r>
              <w:rPr>
                <w:rFonts w:hint="default" w:cs="Times New Roman"/>
                <w:sz w:val="21"/>
                <w:szCs w:val="21"/>
                <w:u w:val="single"/>
              </w:rPr>
              <w:t xml:space="preserve">三十、金属制品业33 </w:t>
            </w:r>
          </w:p>
          <w:p>
            <w:pPr>
              <w:keepNext w:val="0"/>
              <w:keepLines w:val="0"/>
              <w:widowControl w:val="0"/>
              <w:suppressLineNumbers w:val="0"/>
              <w:spacing w:before="0" w:beforeAutospacing="0" w:after="0" w:afterAutospacing="0"/>
              <w:ind w:left="0" w:right="0" w:firstLine="0" w:firstLineChars="0"/>
              <w:jc w:val="both"/>
              <w:rPr>
                <w:rFonts w:hint="default" w:cs="Times New Roman"/>
                <w:sz w:val="21"/>
                <w:szCs w:val="21"/>
              </w:rPr>
            </w:pPr>
            <w:r>
              <w:rPr>
                <w:rFonts w:hint="default" w:cs="Times New Roman"/>
                <w:sz w:val="21"/>
                <w:szCs w:val="21"/>
                <w:u w:val="single"/>
              </w:rPr>
              <w:t>66建筑、安全用金属制品制造 335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建设性质</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cs="Times New Roman"/>
                <w:kern w:val="2"/>
                <w:sz w:val="21"/>
                <w:szCs w:val="21"/>
                <w:lang w:bidi="ar"/>
              </w:rPr>
              <w:t>√新建（迁建）</w:t>
            </w:r>
          </w:p>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cs="Times New Roman"/>
                <w:kern w:val="2"/>
                <w:sz w:val="21"/>
                <w:szCs w:val="21"/>
                <w:lang w:bidi="ar"/>
              </w:rPr>
              <w:t>□改建</w:t>
            </w:r>
          </w:p>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cs="Times New Roman"/>
                <w:kern w:val="2"/>
                <w:sz w:val="21"/>
                <w:szCs w:val="21"/>
                <w:lang w:bidi="ar"/>
              </w:rPr>
              <w:t>□扩建</w:t>
            </w:r>
          </w:p>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cs="Times New Roman"/>
                <w:kern w:val="2"/>
                <w:sz w:val="21"/>
                <w:szCs w:val="21"/>
                <w:lang w:bidi="ar"/>
              </w:rPr>
              <w:t>□技术改造</w:t>
            </w:r>
          </w:p>
        </w:tc>
        <w:tc>
          <w:tcPr>
            <w:tcW w:w="103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建设项目</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申报情形</w:t>
            </w:r>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eastAsia="Wingdings 2" w:cs="Times New Roman"/>
                <w:kern w:val="2"/>
                <w:sz w:val="21"/>
                <w:szCs w:val="21"/>
                <w:lang w:bidi="ar"/>
              </w:rPr>
              <w:t>√</w:t>
            </w:r>
            <w:r>
              <w:rPr>
                <w:rFonts w:hint="default" w:cs="Times New Roman"/>
                <w:kern w:val="2"/>
                <w:sz w:val="21"/>
                <w:szCs w:val="21"/>
                <w:lang w:bidi="ar"/>
              </w:rPr>
              <w:t xml:space="preserve">首次申报项目             </w:t>
            </w:r>
          </w:p>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cs="Times New Roman"/>
                <w:kern w:val="2"/>
                <w:sz w:val="21"/>
                <w:szCs w:val="21"/>
                <w:lang w:bidi="ar"/>
              </w:rPr>
              <w:t>□不予批准后再次申报项目</w:t>
            </w:r>
          </w:p>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eastAsia="Wingdings 2" w:cs="Times New Roman"/>
                <w:kern w:val="2"/>
                <w:sz w:val="21"/>
                <w:szCs w:val="21"/>
                <w:lang w:bidi="ar"/>
              </w:rPr>
              <w:sym w:font="Wingdings 2" w:char="00A3"/>
            </w:r>
            <w:r>
              <w:rPr>
                <w:rFonts w:hint="default" w:cs="Times New Roman"/>
                <w:kern w:val="2"/>
                <w:sz w:val="21"/>
                <w:szCs w:val="21"/>
                <w:lang w:bidi="ar"/>
              </w:rPr>
              <w:t xml:space="preserve">超五年重新审核项目     </w:t>
            </w:r>
          </w:p>
          <w:p>
            <w:pPr>
              <w:keepNext w:val="0"/>
              <w:keepLines w:val="0"/>
              <w:widowControl w:val="0"/>
              <w:suppressLineNumbers w:val="0"/>
              <w:spacing w:before="0" w:beforeAutospacing="0" w:after="0" w:afterAutospacing="0"/>
              <w:ind w:left="0" w:right="0" w:firstLine="0" w:firstLineChars="0"/>
              <w:rPr>
                <w:rFonts w:hint="default" w:cs="Times New Roman"/>
                <w:sz w:val="21"/>
                <w:szCs w:val="21"/>
              </w:rPr>
            </w:pPr>
            <w:r>
              <w:rPr>
                <w:rFonts w:hint="default" w:cs="Times New Roman"/>
                <w:kern w:val="2"/>
                <w:sz w:val="21"/>
                <w:szCs w:val="21"/>
                <w:lang w:bidi="ar"/>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851"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项目审批（核准/</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备案）部门（选填）</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eastAsia" w:eastAsia="宋体" w:cs="Times New Roman"/>
                <w:sz w:val="21"/>
                <w:szCs w:val="21"/>
                <w:lang w:eastAsia="zh-CN"/>
              </w:rPr>
            </w:pPr>
            <w:r>
              <w:rPr>
                <w:rFonts w:hint="eastAsia" w:cs="Times New Roman"/>
                <w:sz w:val="21"/>
                <w:szCs w:val="21"/>
                <w:lang w:eastAsia="zh-CN"/>
              </w:rPr>
              <w:t>岳阳经济技术开发区发展和改革局</w:t>
            </w:r>
          </w:p>
        </w:tc>
        <w:tc>
          <w:tcPr>
            <w:tcW w:w="103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项目审批（核准/</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备案）文号（选填）</w:t>
            </w:r>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eastAsia="宋体" w:cs="Times New Roman"/>
                <w:sz w:val="21"/>
                <w:szCs w:val="21"/>
                <w:lang w:val="en-US" w:eastAsia="zh-CN"/>
              </w:rPr>
            </w:pPr>
            <w:r>
              <w:rPr>
                <w:rFonts w:hint="eastAsia" w:cs="Times New Roman"/>
                <w:sz w:val="21"/>
                <w:szCs w:val="21"/>
                <w:lang w:val="en-US" w:eastAsia="zh-CN"/>
              </w:rPr>
              <w:t>2018060号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总投资（万元）</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rPr>
              <w:t>25000</w:t>
            </w:r>
          </w:p>
        </w:tc>
        <w:tc>
          <w:tcPr>
            <w:tcW w:w="1030" w:type="pct"/>
            <w:tcBorders>
              <w:top w:val="single" w:color="auto" w:sz="4" w:space="0"/>
              <w:left w:val="single" w:color="auto" w:sz="4"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环保投资（万元）</w:t>
            </w:r>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rPr>
              <w:t>455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环保投资占比（%）</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eastAsia" w:cs="Times New Roman"/>
                <w:sz w:val="21"/>
                <w:szCs w:val="21"/>
              </w:rPr>
              <w:t>1.</w:t>
            </w:r>
            <w:r>
              <w:rPr>
                <w:rFonts w:hint="default" w:cs="Times New Roman"/>
                <w:sz w:val="21"/>
                <w:szCs w:val="21"/>
              </w:rPr>
              <w:t>82</w:t>
            </w:r>
          </w:p>
        </w:tc>
        <w:tc>
          <w:tcPr>
            <w:tcW w:w="1030" w:type="pct"/>
            <w:tcBorders>
              <w:top w:val="single" w:color="auto" w:sz="4" w:space="0"/>
              <w:left w:val="single" w:color="auto" w:sz="4"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施工工期</w:t>
            </w:r>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eastAsia" w:eastAsia="宋体" w:cs="Times New Roman"/>
                <w:sz w:val="21"/>
                <w:szCs w:val="21"/>
                <w:lang w:val="en-US" w:eastAsia="zh-CN"/>
              </w:rPr>
            </w:pPr>
            <w:r>
              <w:rPr>
                <w:rFonts w:hint="eastAsia" w:cs="Times New Roman"/>
                <w:sz w:val="21"/>
                <w:szCs w:val="21"/>
                <w:lang w:val="en-US" w:eastAsia="zh-CN"/>
              </w:rPr>
              <w:t>24个月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93"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是否开工建设</w:t>
            </w:r>
          </w:p>
        </w:tc>
        <w:tc>
          <w:tcPr>
            <w:tcW w:w="13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both"/>
              <w:rPr>
                <w:rFonts w:hint="default" w:cs="Times New Roman"/>
                <w:sz w:val="21"/>
                <w:szCs w:val="21"/>
              </w:rPr>
            </w:pPr>
            <w:r>
              <w:rPr>
                <w:rFonts w:hint="default" w:eastAsia="Wingdings 2" w:cs="Times New Roman"/>
                <w:kern w:val="2"/>
                <w:sz w:val="21"/>
                <w:szCs w:val="21"/>
                <w:lang w:bidi="ar"/>
              </w:rPr>
              <w:t>√</w:t>
            </w:r>
            <w:r>
              <w:rPr>
                <w:rFonts w:hint="default" w:cs="Times New Roman"/>
                <w:kern w:val="2"/>
                <w:sz w:val="21"/>
                <w:szCs w:val="21"/>
                <w:lang w:bidi="ar"/>
              </w:rPr>
              <w:t>否</w:t>
            </w:r>
          </w:p>
          <w:p>
            <w:pPr>
              <w:keepNext w:val="0"/>
              <w:keepLines w:val="0"/>
              <w:widowControl w:val="0"/>
              <w:suppressLineNumbers w:val="0"/>
              <w:spacing w:before="0" w:beforeAutospacing="0" w:after="0" w:afterAutospacing="0"/>
              <w:ind w:left="0" w:right="0" w:firstLine="0" w:firstLineChars="0"/>
              <w:jc w:val="both"/>
              <w:rPr>
                <w:rFonts w:hint="default" w:cs="Times New Roman"/>
                <w:sz w:val="21"/>
                <w:szCs w:val="21"/>
              </w:rPr>
            </w:pPr>
            <w:r>
              <w:rPr>
                <w:rFonts w:hint="default" w:eastAsia="Wingdings 2" w:cs="Times New Roman"/>
                <w:kern w:val="2"/>
                <w:sz w:val="21"/>
                <w:szCs w:val="21"/>
                <w:lang w:bidi="ar"/>
              </w:rPr>
              <w:sym w:font="Wingdings 2" w:char="00A3"/>
            </w:r>
            <w:r>
              <w:rPr>
                <w:rFonts w:hint="default" w:cs="Times New Roman"/>
                <w:kern w:val="2"/>
                <w:sz w:val="21"/>
                <w:szCs w:val="21"/>
                <w:lang w:bidi="ar"/>
              </w:rPr>
              <w:t>是：</w:t>
            </w:r>
            <w:r>
              <w:rPr>
                <w:rFonts w:hint="default" w:cs="Times New Roman"/>
                <w:kern w:val="2"/>
                <w:sz w:val="21"/>
                <w:szCs w:val="21"/>
                <w:u w:val="single"/>
                <w:lang w:bidi="ar"/>
              </w:rPr>
              <w:t xml:space="preserve">             </w:t>
            </w:r>
          </w:p>
        </w:tc>
        <w:tc>
          <w:tcPr>
            <w:tcW w:w="1030" w:type="pct"/>
            <w:tcBorders>
              <w:top w:val="single" w:color="auto" w:sz="4" w:space="0"/>
              <w:left w:val="single" w:color="auto" w:sz="4" w:space="0"/>
              <w:bottom w:val="single" w:color="auto" w:sz="4" w:space="0"/>
              <w:right w:val="single" w:color="auto" w:sz="4" w:space="0"/>
            </w:tcBorders>
            <w:shd w:val="clear" w:color="auto" w:fill="auto"/>
            <w:tcMar>
              <w:top w:w="16" w:type="dxa"/>
              <w:left w:w="16" w:type="dxa"/>
              <w:right w:w="16"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pacing w:val="-6"/>
                <w:sz w:val="21"/>
                <w:szCs w:val="21"/>
              </w:rPr>
            </w:pPr>
            <w:r>
              <w:rPr>
                <w:rFonts w:hint="default" w:cs="Times New Roman"/>
                <w:spacing w:val="-6"/>
                <w:kern w:val="2"/>
                <w:sz w:val="21"/>
                <w:szCs w:val="21"/>
                <w:lang w:bidi="ar"/>
              </w:rPr>
              <w:t>用地（用海）</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spacing w:val="-6"/>
                <w:kern w:val="2"/>
                <w:sz w:val="21"/>
                <w:szCs w:val="21"/>
                <w:lang w:bidi="ar"/>
              </w:rPr>
              <w:t>面积（m</w:t>
            </w:r>
            <w:r>
              <w:rPr>
                <w:rFonts w:hint="default" w:cs="Times New Roman"/>
                <w:spacing w:val="-6"/>
                <w:kern w:val="2"/>
                <w:sz w:val="21"/>
                <w:szCs w:val="21"/>
                <w:vertAlign w:val="superscript"/>
                <w:lang w:bidi="ar"/>
              </w:rPr>
              <w:t>2</w:t>
            </w:r>
            <w:r>
              <w:rPr>
                <w:rFonts w:hint="default" w:cs="Times New Roman"/>
                <w:spacing w:val="-6"/>
                <w:kern w:val="2"/>
                <w:sz w:val="21"/>
                <w:szCs w:val="21"/>
                <w:lang w:bidi="ar"/>
              </w:rPr>
              <w:t>）</w:t>
            </w:r>
          </w:p>
        </w:tc>
        <w:tc>
          <w:tcPr>
            <w:tcW w:w="1434" w:type="pct"/>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eastAsia" w:eastAsia="宋体" w:cs="Times New Roman"/>
                <w:sz w:val="21"/>
                <w:szCs w:val="21"/>
                <w:lang w:eastAsia="zh-CN"/>
              </w:rPr>
            </w:pPr>
            <w:r>
              <w:rPr>
                <w:rFonts w:hint="eastAsia" w:cs="Times New Roman"/>
                <w:sz w:val="21"/>
                <w:szCs w:val="21"/>
                <w:lang w:eastAsia="zh-CN"/>
              </w:rPr>
              <w:t>66249.81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021"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lang w:bidi="ar"/>
              </w:rPr>
              <w:t>专项评价设置情况</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021"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规划情况</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420"/>
              <w:jc w:val="both"/>
              <w:rPr>
                <w:rFonts w:hint="default" w:cs="Times New Roman"/>
                <w:sz w:val="21"/>
                <w:szCs w:val="21"/>
              </w:rPr>
            </w:pPr>
            <w:r>
              <w:rPr>
                <w:rFonts w:hint="default" w:cs="Times New Roman"/>
                <w:sz w:val="21"/>
                <w:szCs w:val="21"/>
                <w:u w:val="single"/>
              </w:rPr>
              <w:t>木里港工业园规划总用地</w:t>
            </w:r>
            <w:r>
              <w:rPr>
                <w:rFonts w:hint="eastAsia" w:cs="Times New Roman"/>
                <w:sz w:val="21"/>
                <w:szCs w:val="21"/>
                <w:u w:val="single"/>
              </w:rPr>
              <w:t>面积</w:t>
            </w:r>
            <w:r>
              <w:rPr>
                <w:rFonts w:hint="default" w:cs="Times New Roman"/>
                <w:sz w:val="21"/>
                <w:szCs w:val="21"/>
                <w:u w:val="single"/>
              </w:rPr>
              <w:t>11.5992k㎡，东起芭港路及长岭头路，西至武广客运专线正线中心线，南临康王路，北抵监申桥路及甘家坡路。功能定位：以商贸物流为主，并配套生活服务的城市综合功能片区。发展目标：以实施城市“东扩”战略为契机，充分发挥木里港片区独有的区位/资源和环境优势，将本片区建设成为结构紧凑、功能合理、设施完善、生活便利、产业兴旺、活力持久、环境优美的城市新区。木里港工业园规划布局为“三带、六区”，“三带”是指由芭山港/木里港水系及其周边特色景观所形成的两条滨水绿带，以及由用地西部沿武广高速铁路西侧50m宽带绿地所构成的铁路防护林带；“六区”是指商贸物流区、企业管理区、机械材料和先进制造产业区、生物制药和先进制造产业区，以及配套的两个居住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021"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left w:w="108" w:type="dxa"/>
              <w:right w:w="108"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规划环境影响</w:t>
            </w:r>
          </w:p>
          <w:p>
            <w:pPr>
              <w:keepNext w:val="0"/>
              <w:keepLines w:val="0"/>
              <w:widowControl w:val="0"/>
              <w:suppressLineNumbers w:val="0"/>
              <w:spacing w:before="0" w:beforeAutospacing="0" w:after="0" w:afterAutospacing="0"/>
              <w:ind w:left="0" w:right="0" w:firstLine="0" w:firstLineChars="0"/>
              <w:jc w:val="center"/>
              <w:rPr>
                <w:rFonts w:hint="default" w:cs="Times New Roman"/>
                <w:sz w:val="21"/>
                <w:szCs w:val="21"/>
              </w:rPr>
            </w:pPr>
            <w:r>
              <w:rPr>
                <w:rFonts w:hint="default" w:cs="Times New Roman"/>
                <w:kern w:val="2"/>
                <w:sz w:val="21"/>
                <w:szCs w:val="21"/>
                <w:lang w:bidi="ar"/>
              </w:rPr>
              <w:t>评价情况</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eastAsia" w:cs="Times New Roman"/>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021" w:hRule="atLeast"/>
          <w:jc w:val="center"/>
        </w:trPr>
        <w:tc>
          <w:tcPr>
            <w:tcW w:w="1223" w:type="pct"/>
            <w:tcBorders>
              <w:top w:val="single" w:color="auto" w:sz="4" w:space="0"/>
              <w:left w:val="single" w:color="auto" w:sz="8" w:space="0"/>
              <w:bottom w:val="single" w:color="auto" w:sz="4" w:space="0"/>
              <w:right w:val="single" w:color="auto" w:sz="4"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lang w:bidi="ar"/>
              </w:rPr>
              <w:t>规划及规划环境</w:t>
            </w:r>
          </w:p>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lang w:bidi="ar"/>
              </w:rPr>
              <w:t>影响评价符合性分析</w:t>
            </w:r>
          </w:p>
        </w:tc>
        <w:tc>
          <w:tcPr>
            <w:tcW w:w="3776" w:type="pct"/>
            <w:gridSpan w:val="3"/>
            <w:tcBorders>
              <w:top w:val="single" w:color="auto" w:sz="4" w:space="0"/>
              <w:left w:val="single" w:color="auto" w:sz="4" w:space="0"/>
              <w:bottom w:val="single" w:color="auto" w:sz="4" w:space="0"/>
              <w:right w:val="single" w:color="auto" w:sz="8" w:space="0"/>
            </w:tcBorders>
            <w:shd w:val="clear" w:color="auto" w:fill="auto"/>
            <w:tcMar>
              <w:left w:w="108" w:type="dxa"/>
              <w:right w:w="108" w:type="dxa"/>
            </w:tcMar>
            <w:vAlign w:val="center"/>
          </w:tcPr>
          <w:p>
            <w:pPr>
              <w:keepNext w:val="0"/>
              <w:keepLines w:val="0"/>
              <w:widowControl/>
              <w:suppressLineNumbers w:val="0"/>
              <w:spacing w:before="0" w:beforeAutospacing="0" w:after="0" w:afterAutospacing="0"/>
              <w:ind w:left="0" w:right="0" w:firstLine="422"/>
              <w:rPr>
                <w:rFonts w:hint="default" w:cs="Times New Roman"/>
                <w:b/>
                <w:bCs/>
                <w:sz w:val="21"/>
                <w:szCs w:val="21"/>
                <w:u w:val="single"/>
              </w:rPr>
            </w:pPr>
            <w:r>
              <w:rPr>
                <w:rFonts w:hint="default" w:cs="Times New Roman"/>
                <w:b/>
                <w:bCs/>
                <w:sz w:val="21"/>
                <w:szCs w:val="21"/>
                <w:u w:val="single"/>
              </w:rPr>
              <w:t>与木里港工业园相符性分析</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default" w:cs="Times New Roman"/>
                <w:sz w:val="21"/>
                <w:szCs w:val="21"/>
                <w:u w:val="single"/>
              </w:rPr>
              <w:t>木里港工业园西接康王高科技园区，北临京珠高速公路岳阳连接线，东、南抵城市规划主干道——木里港路和规划保留水系芭山港，距城陵矶外贸码头6公里，地理位置极为优越，水陆交通十分便利。</w:t>
            </w:r>
          </w:p>
          <w:p>
            <w:pPr>
              <w:pStyle w:val="15"/>
              <w:keepNext w:val="0"/>
              <w:keepLines w:val="0"/>
              <w:widowControl/>
              <w:suppressLineNumbers w:val="0"/>
              <w:spacing w:before="0" w:beforeAutospacing="0" w:afterAutospacing="0"/>
              <w:ind w:left="0" w:right="0" w:firstLine="420"/>
              <w:rPr>
                <w:rFonts w:hint="default" w:cs="Times New Roman"/>
                <w:sz w:val="21"/>
                <w:szCs w:val="21"/>
                <w:u w:val="single"/>
              </w:rPr>
            </w:pPr>
            <w:r>
              <w:rPr>
                <w:rFonts w:hint="default" w:cs="Times New Roman"/>
                <w:sz w:val="21"/>
                <w:szCs w:val="21"/>
                <w:u w:val="single"/>
              </w:rPr>
              <w:t>木里港工业园规划总用地</w:t>
            </w:r>
            <w:r>
              <w:rPr>
                <w:rFonts w:hint="eastAsia" w:cs="Times New Roman"/>
                <w:sz w:val="21"/>
                <w:szCs w:val="21"/>
                <w:u w:val="single"/>
              </w:rPr>
              <w:t>面积</w:t>
            </w:r>
            <w:r>
              <w:rPr>
                <w:rFonts w:hint="default" w:cs="Times New Roman"/>
                <w:sz w:val="21"/>
                <w:szCs w:val="21"/>
                <w:u w:val="single"/>
              </w:rPr>
              <w:t>11.5992k</w:t>
            </w:r>
            <w:r>
              <w:rPr>
                <w:rFonts w:hint="eastAsia" w:cs="Times New Roman"/>
                <w:sz w:val="21"/>
                <w:szCs w:val="21"/>
                <w:u w:val="single"/>
              </w:rPr>
              <w:t>m</w:t>
            </w:r>
            <w:r>
              <w:rPr>
                <w:rFonts w:hint="eastAsia" w:cs="Times New Roman"/>
                <w:sz w:val="21"/>
                <w:szCs w:val="21"/>
                <w:u w:val="single"/>
                <w:vertAlign w:val="superscript"/>
              </w:rPr>
              <w:t>2</w:t>
            </w:r>
            <w:r>
              <w:rPr>
                <w:rFonts w:hint="default" w:cs="Times New Roman"/>
                <w:sz w:val="21"/>
                <w:szCs w:val="21"/>
                <w:u w:val="single"/>
              </w:rPr>
              <w:t>，东起芭港路及长岭头路，西至武广客运专线正线中心线，南临康王路，北抵监申桥路及甘家坡路。功能定位：以商贸物流为主，并配套生活服务的城市综合功能片区。发展目标：以实施城市“东扩”战略为契机，充分发挥木里港片区独有的区位/资源和环境优势，将本片区建设成为结构紧凑、功能合理、设施完善、生活便利、产业兴旺、活力持久、环境优美的城市新区。木里港工业园规划布局为“三带、六区”，“三带”是指由芭山港/木里港水系及其周边特色景观所形成的两条滨水绿带，以及由用地西部沿武广高速铁路西侧50m宽带绿地所构成的铁路防护林带；“六区”是指商贸物流区、企业管理区、机械材料和先进制造产业区、生物制药和先进制造产业区，以及配套的两个居住区。</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u w:val="single"/>
              </w:rPr>
              <w:t>岳阳威尔重工有限公司属于岳阳经济技术开发区引进的重点项目，以钢材为主要原材料生产桥梁钢结构，产生的废气废水正常工况下都能达标排放，属于“六区”中的机械材料和先进制造产业区，不属于重污染型项目，符合木里港工业园规划</w:t>
            </w:r>
            <w:r>
              <w:rPr>
                <w:rFonts w:hint="default" w:cs="Times New Roman"/>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021" w:hRule="atLeast"/>
          <w:jc w:val="center"/>
        </w:trPr>
        <w:tc>
          <w:tcPr>
            <w:tcW w:w="1223" w:type="pct"/>
            <w:tcBorders>
              <w:top w:val="single" w:color="auto" w:sz="4" w:space="0"/>
              <w:left w:val="single" w:color="auto" w:sz="8" w:space="0"/>
              <w:bottom w:val="single" w:color="auto" w:sz="8" w:space="0"/>
              <w:right w:val="single" w:color="auto" w:sz="4" w:space="0"/>
            </w:tcBorders>
            <w:shd w:val="clear" w:color="auto" w:fill="auto"/>
            <w:tcMar>
              <w:left w:w="108" w:type="dxa"/>
              <w:right w:w="108" w:type="dxa"/>
            </w:tcMar>
            <w:vAlign w:val="center"/>
          </w:tcPr>
          <w:p>
            <w:pPr>
              <w:keepNext w:val="0"/>
              <w:keepLines w:val="0"/>
              <w:widowControl w:val="0"/>
              <w:suppressLineNumbers w:val="0"/>
              <w:autoSpaceDE w:val="0"/>
              <w:autoSpaceDN w:val="0"/>
              <w:spacing w:before="0" w:beforeAutospacing="0" w:after="0" w:afterAutospacing="0"/>
              <w:ind w:left="0" w:right="0" w:firstLine="0" w:firstLineChars="0"/>
              <w:jc w:val="center"/>
              <w:rPr>
                <w:rFonts w:hint="default" w:cs="Times New Roman"/>
                <w:sz w:val="21"/>
                <w:szCs w:val="21"/>
              </w:rPr>
            </w:pPr>
            <w:r>
              <w:rPr>
                <w:rFonts w:hint="default" w:cs="Times New Roman"/>
                <w:sz w:val="21"/>
                <w:szCs w:val="21"/>
                <w:lang w:bidi="ar"/>
              </w:rPr>
              <w:t>其他符合性分析</w:t>
            </w:r>
          </w:p>
        </w:tc>
        <w:tc>
          <w:tcPr>
            <w:tcW w:w="3776" w:type="pct"/>
            <w:gridSpan w:val="3"/>
            <w:tcBorders>
              <w:top w:val="single" w:color="auto" w:sz="4" w:space="0"/>
              <w:left w:val="single" w:color="auto" w:sz="4" w:space="0"/>
              <w:bottom w:val="single" w:color="auto" w:sz="8" w:space="0"/>
              <w:right w:val="single" w:color="auto" w:sz="8" w:space="0"/>
            </w:tcBorders>
            <w:shd w:val="clear" w:color="auto" w:fill="auto"/>
            <w:tcMar>
              <w:left w:w="108" w:type="dxa"/>
              <w:right w:w="108" w:type="dxa"/>
            </w:tcMar>
            <w:vAlign w:val="center"/>
          </w:tcPr>
          <w:p>
            <w:pPr>
              <w:pStyle w:val="57"/>
              <w:keepNext w:val="0"/>
              <w:keepLines w:val="0"/>
              <w:widowControl/>
              <w:numPr>
                <w:ilvl w:val="0"/>
                <w:numId w:val="2"/>
              </w:numPr>
              <w:suppressLineNumbers w:val="0"/>
              <w:spacing w:before="0" w:beforeAutospacing="0" w:after="0" w:afterAutospacing="0"/>
              <w:ind w:right="0" w:firstLineChars="0"/>
              <w:rPr>
                <w:rFonts w:hint="default" w:cs="Times New Roman"/>
                <w:b/>
                <w:bCs/>
                <w:sz w:val="21"/>
                <w:szCs w:val="21"/>
              </w:rPr>
            </w:pPr>
            <w:r>
              <w:rPr>
                <w:rFonts w:hint="default" w:cs="Times New Roman"/>
                <w:b/>
                <w:bCs/>
                <w:sz w:val="21"/>
                <w:szCs w:val="21"/>
              </w:rPr>
              <w:t>产业政策符合性分析</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根据《产业结构调整指导目录（2019 年本）》，本项目属于鼓励类“八、钢铁 4、高性能轴承钢，高性能齿轮用钢，高性能冷镦钢，高性能合金弹簧钢，先进轨道交通装备用钢，节能与新能源汽车用钢，低铁损高磁感取向电工钢，高性能工模具钢，建筑结构用高强度抗震钢筋、钢板及型钢，超高强度桥梁缆索用钢，高性能管线钢，高性能耐磨钢，高性能耐蚀钢，高强度高韧性工程机械用钢，海洋工程装备及高技术船舶用钢，电力装备用特殊钢，油气钻采集输用高品质特殊钢，高性能不锈钢，高温合金，高延性冷轧带肋钢筋，非调质钢，汽车等机械行业用高强钢，高纯度、高品质合金粉末，复合钢材，半导体用高纯高性能钢”。项目位于岳阳经济技术开发区新园路以南金凤桥路以东木里港工业园，符合岳阳市的总体规划。综上所述，本项目的建设符合产业政策。</w:t>
            </w:r>
          </w:p>
          <w:p>
            <w:pPr>
              <w:pStyle w:val="57"/>
              <w:keepNext w:val="0"/>
              <w:keepLines w:val="0"/>
              <w:widowControl/>
              <w:numPr>
                <w:ilvl w:val="0"/>
                <w:numId w:val="2"/>
              </w:numPr>
              <w:suppressLineNumbers w:val="0"/>
              <w:spacing w:before="0" w:beforeAutospacing="0" w:after="0" w:afterAutospacing="0"/>
              <w:ind w:right="0" w:firstLineChars="0"/>
              <w:rPr>
                <w:rFonts w:hint="default" w:cs="Times New Roman"/>
                <w:b/>
                <w:bCs/>
                <w:sz w:val="21"/>
                <w:szCs w:val="21"/>
                <w:u w:val="single"/>
              </w:rPr>
            </w:pPr>
            <w:r>
              <w:rPr>
                <w:rFonts w:hint="default" w:cs="Times New Roman"/>
                <w:b/>
                <w:bCs/>
                <w:sz w:val="21"/>
                <w:szCs w:val="21"/>
                <w:u w:val="single"/>
              </w:rPr>
              <w:t>挥发性有机物污染防治技术政策的相符性</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default" w:cs="Times New Roman"/>
                <w:sz w:val="21"/>
                <w:szCs w:val="21"/>
                <w:u w:val="single"/>
              </w:rPr>
              <w:t>根据《挥发性有机物（VOCs）污染防治技术政策》（公告 2013年 第31号）中的要求如下所示。</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8"/>
              <w:gridCol w:w="31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7" w:type="dxa"/>
                  <w:gridSpan w:val="2"/>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在涂装、印刷、粘合、工业清洗等含VOCs产品的使用过程中的VOCs污染防治技术措施包括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128" w:type="dxa"/>
                </w:tcPr>
                <w:p>
                  <w:pPr>
                    <w:pStyle w:val="52"/>
                    <w:keepNext w:val="0"/>
                    <w:keepLines w:val="0"/>
                    <w:suppressLineNumbers w:val="0"/>
                    <w:spacing w:before="0" w:beforeAutospacing="0" w:after="0" w:afterAutospacing="0"/>
                    <w:ind w:left="0" w:right="0"/>
                    <w:rPr>
                      <w:rFonts w:hint="default" w:ascii="Calibri" w:hAnsi="Calibri" w:eastAsia="Times New Roman"/>
                      <w:b/>
                      <w:bCs/>
                      <w:szCs w:val="21"/>
                      <w:u w:val="single"/>
                    </w:rPr>
                  </w:pPr>
                  <w:r>
                    <w:rPr>
                      <w:rFonts w:hint="default" w:ascii="Calibri" w:hAnsi="Calibri" w:eastAsia="Times New Roman"/>
                      <w:b/>
                      <w:bCs/>
                      <w:szCs w:val="21"/>
                      <w:u w:val="single"/>
                    </w:rPr>
                    <w:t>公告 2013年 第31号</w:t>
                  </w:r>
                  <w:r>
                    <w:rPr>
                      <w:rFonts w:hint="eastAsia" w:ascii="Calibri" w:hAnsi="Calibri" w:eastAsia="Times New Roman"/>
                      <w:b/>
                      <w:bCs/>
                      <w:szCs w:val="21"/>
                      <w:u w:val="single"/>
                    </w:rPr>
                    <w:t xml:space="preserve"> 要求</w:t>
                  </w:r>
                </w:p>
              </w:tc>
              <w:tc>
                <w:tcPr>
                  <w:tcW w:w="3129" w:type="dxa"/>
                </w:tcPr>
                <w:p>
                  <w:pPr>
                    <w:pStyle w:val="52"/>
                    <w:keepNext w:val="0"/>
                    <w:keepLines w:val="0"/>
                    <w:suppressLineNumbers w:val="0"/>
                    <w:spacing w:before="0" w:beforeAutospacing="0" w:after="0" w:afterAutospacing="0"/>
                    <w:ind w:left="0" w:right="0"/>
                    <w:rPr>
                      <w:rFonts w:hint="default" w:ascii="Calibri" w:hAnsi="Calibri" w:eastAsia="Times New Roman"/>
                      <w:b/>
                      <w:bCs/>
                      <w:szCs w:val="21"/>
                      <w:u w:val="single"/>
                    </w:rPr>
                  </w:pPr>
                  <w:r>
                    <w:rPr>
                      <w:rFonts w:hint="eastAsia" w:ascii="Calibri" w:hAnsi="Calibri" w:eastAsia="Times New Roman"/>
                      <w:b/>
                      <w:bCs/>
                      <w:szCs w:val="21"/>
                      <w:u w:val="single"/>
                    </w:rPr>
                    <w:t>本项目采用的技术措施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8"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1.鼓励使用通过环境标志产品认证的环保型涂料、油墨、胶粘剂和清洗剂；</w:t>
                  </w:r>
                </w:p>
              </w:tc>
              <w:tc>
                <w:tcPr>
                  <w:tcW w:w="3129"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本项目使用的是通过环境标志产品认证的环保型涂料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8"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2.根据涂装工艺的不同，鼓励使用水性涂料、高固份涂料、粉末涂料、紫外光固化（UV）涂料等环保型涂料；推广采用静电喷涂、淋涂、辊涂、浸涂等效率较高的涂装工艺；应尽量避免无VOCs净化、回收措施的露天喷涂作业；</w:t>
                  </w:r>
                </w:p>
              </w:tc>
              <w:tc>
                <w:tcPr>
                  <w:tcW w:w="3129"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本项目根据工艺使用水性漆及油性漆，使用效率较高的涂装工艺，厂内无露天喷涂作业，厂外（施工场地）视情况而定，尽量减少露天作业。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8"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5.淘汰以三氟三氯乙烷、甲基氯仿和四氯化碳为清洗剂或溶剂的生产工艺。清洗过程中产生的废溶剂宜密闭收集，有回收价值的废溶剂经处理后回用，其他废溶剂应妥善处置；</w:t>
                  </w:r>
                </w:p>
              </w:tc>
              <w:tc>
                <w:tcPr>
                  <w:tcW w:w="3129"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无三氟三氯乙烷、甲基氯仿和四氯化碳为清洗剂或溶剂的生产工艺。本项目无清洗过程。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8"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6.含VOCs产品的使用过程中，应采取废气收集措施，提高废气收集效率，减少废气的无组织排放与逸散，并对收集后的废气进行回收或处理后达标排放。</w:t>
                  </w:r>
                </w:p>
              </w:tc>
              <w:tc>
                <w:tcPr>
                  <w:tcW w:w="3129" w:type="dxa"/>
                </w:tcPr>
                <w:p>
                  <w:pPr>
                    <w:pStyle w:val="52"/>
                    <w:keepNext w:val="0"/>
                    <w:keepLines w:val="0"/>
                    <w:suppressLineNumbers w:val="0"/>
                    <w:spacing w:before="0" w:beforeAutospacing="0" w:after="0" w:afterAutospacing="0"/>
                    <w:ind w:left="0" w:right="0"/>
                    <w:rPr>
                      <w:rFonts w:hint="default" w:ascii="Calibri" w:hAnsi="Calibri" w:eastAsia="Times New Roman"/>
                      <w:szCs w:val="21"/>
                      <w:u w:val="single"/>
                    </w:rPr>
                  </w:pPr>
                  <w:r>
                    <w:rPr>
                      <w:rFonts w:hint="default" w:ascii="Calibri" w:hAnsi="Calibri" w:eastAsia="Times New Roman"/>
                      <w:szCs w:val="21"/>
                      <w:u w:val="single"/>
                    </w:rPr>
                    <w:t>在</w:t>
                  </w:r>
                  <w:r>
                    <w:rPr>
                      <w:rFonts w:hint="eastAsia" w:ascii="Calibri" w:hAnsi="Calibri" w:eastAsia="Times New Roman"/>
                      <w:szCs w:val="21"/>
                    </w:rPr>
                    <w:t>封闭的</w:t>
                  </w:r>
                  <w:r>
                    <w:rPr>
                      <w:rFonts w:hint="default" w:ascii="Calibri" w:hAnsi="Calibri" w:eastAsia="Times New Roman"/>
                      <w:szCs w:val="21"/>
                      <w:u w:val="single"/>
                    </w:rPr>
                    <w:t>喷漆房内进行喷漆，密闭负压收集废气，提高了废气收集效率，减少废气的无组织排放与逸散，收集后的废气处理后达标排放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8" w:type="dxa"/>
                </w:tcPr>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　　（十三）对于含高浓度VOCs的废气，宜优先采用冷凝回收、吸附回收技术进行回收利用，并辅助以其他治理技术实现达标排放。</w:t>
                  </w:r>
                </w:p>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　　（十四）对于含中等浓度VOCs的废气，可采用吸附技术回收有机溶剂，或采用催化燃烧和热力焚烧技术净化后达标排放。当采用催化燃烧和热力焚烧技术进行净化时，应进行余热回收利用。</w:t>
                  </w:r>
                </w:p>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　　（十五）对于含低浓度VOCs的废气，有回收价值时可采用吸附技术、吸收技术对有机溶剂回收后达标排放；不宜回收时，可采用吸附浓缩燃烧技术、生物技术、吸收技术、等离子体技术或紫外光高级氧化技术等净化后达标排放。</w:t>
                  </w:r>
                </w:p>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p>
              </w:tc>
              <w:tc>
                <w:tcPr>
                  <w:tcW w:w="3129" w:type="dxa"/>
                </w:tcPr>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本项目采用</w:t>
                  </w:r>
                  <w:r>
                    <w:rPr>
                      <w:rFonts w:hint="eastAsia" w:ascii="Calibri" w:hAnsi="Calibri" w:eastAsia="Times New Roman"/>
                      <w:szCs w:val="21"/>
                    </w:rPr>
                    <w:t>封闭的</w:t>
                  </w:r>
                  <w:r>
                    <w:rPr>
                      <w:rFonts w:hint="default" w:ascii="Calibri" w:hAnsi="Calibri" w:eastAsia="Times New Roman"/>
                      <w:szCs w:val="21"/>
                      <w:u w:val="single"/>
                    </w:rPr>
                    <w:t>喷漆房+水帘柜+活性炭吸附装置</w:t>
                  </w:r>
                  <w:r>
                    <w:rPr>
                      <w:rFonts w:hint="eastAsia" w:ascii="Calibri" w:hAnsi="Calibri" w:eastAsia="Times New Roman"/>
                      <w:szCs w:val="21"/>
                      <w:u w:val="single"/>
                    </w:rPr>
                    <w:t>+UV光解</w:t>
                  </w:r>
                  <w:r>
                    <w:rPr>
                      <w:rFonts w:hint="default" w:ascii="Calibri" w:hAnsi="Calibri" w:eastAsia="Times New Roman"/>
                      <w:szCs w:val="21"/>
                      <w:u w:val="single"/>
                    </w:rPr>
                    <w:t>进行处理，满足要求。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8" w:type="dxa"/>
                </w:tcPr>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（二十五）鼓励企业自行开展VOCs监测，并及时主动向当地环保行政主管部门报送监测结果。</w:t>
                  </w:r>
                </w:p>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　　（二十六）企业应建立健全VOCs治理设施的运行维护规程和台帐等日常管理制度，并根据工艺要求定期对各类设备、电气、自控仪表等进行检修维护，确保设施的稳定运行。</w:t>
                  </w:r>
                </w:p>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p>
              </w:tc>
              <w:tc>
                <w:tcPr>
                  <w:tcW w:w="3129" w:type="dxa"/>
                </w:tcPr>
                <w:p>
                  <w:pPr>
                    <w:pStyle w:val="52"/>
                    <w:keepNext w:val="0"/>
                    <w:keepLines w:val="0"/>
                    <w:suppressLineNumbers w:val="0"/>
                    <w:spacing w:before="0" w:beforeAutospacing="0" w:after="0" w:afterAutospacing="0"/>
                    <w:ind w:left="0" w:right="0"/>
                    <w:jc w:val="left"/>
                    <w:rPr>
                      <w:rFonts w:hint="default" w:ascii="Calibri" w:hAnsi="Calibri" w:eastAsia="Times New Roman"/>
                      <w:szCs w:val="21"/>
                      <w:u w:val="single"/>
                    </w:rPr>
                  </w:pPr>
                  <w:r>
                    <w:rPr>
                      <w:rFonts w:hint="default" w:ascii="Calibri" w:hAnsi="Calibri" w:eastAsia="Times New Roman"/>
                      <w:szCs w:val="21"/>
                      <w:u w:val="single"/>
                    </w:rPr>
                    <w:t>根据监测计划自行开展VOCs监测并及时主动向当地环保行政主管部门报送监测结果。建立健全VOCs治理设施的运行维护规程和台帐等日常管理制度，并根据工艺要求定期对各类设备、电气、自控仪表等进行检修维护，确保设施的稳定运行。</w:t>
                  </w:r>
                </w:p>
              </w:tc>
            </w:tr>
          </w:tbl>
          <w:p>
            <w:pPr>
              <w:pStyle w:val="57"/>
              <w:keepNext w:val="0"/>
              <w:keepLines w:val="0"/>
              <w:widowControl/>
              <w:numPr>
                <w:ilvl w:val="0"/>
                <w:numId w:val="2"/>
              </w:numPr>
              <w:suppressLineNumbers w:val="0"/>
              <w:spacing w:before="0" w:beforeAutospacing="0" w:after="0" w:afterAutospacing="0"/>
              <w:ind w:right="0" w:firstLineChars="0"/>
              <w:rPr>
                <w:rFonts w:hint="default" w:eastAsia="Times New Roman" w:cs="Times New Roman"/>
                <w:b/>
                <w:sz w:val="21"/>
                <w:szCs w:val="21"/>
              </w:rPr>
            </w:pPr>
            <w:r>
              <w:rPr>
                <w:rFonts w:hint="default" w:eastAsia="Times New Roman" w:cs="Times New Roman"/>
                <w:b/>
                <w:sz w:val="21"/>
                <w:szCs w:val="21"/>
              </w:rPr>
              <w:t xml:space="preserve"> “</w:t>
            </w:r>
            <w:r>
              <w:rPr>
                <w:rFonts w:hint="default" w:cs="Times New Roman"/>
                <w:b/>
                <w:sz w:val="21"/>
                <w:szCs w:val="21"/>
              </w:rPr>
              <w:t>三线一单</w:t>
            </w:r>
            <w:r>
              <w:rPr>
                <w:rFonts w:hint="default" w:eastAsia="Times New Roman" w:cs="Times New Roman"/>
                <w:b/>
                <w:sz w:val="21"/>
                <w:szCs w:val="21"/>
              </w:rPr>
              <w:t>”</w:t>
            </w:r>
            <w:r>
              <w:rPr>
                <w:rFonts w:hint="default" w:cs="Times New Roman"/>
                <w:b/>
                <w:sz w:val="21"/>
                <w:szCs w:val="21"/>
              </w:rPr>
              <w:t>分析</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cs="Times New Roman"/>
                <w:sz w:val="21"/>
                <w:szCs w:val="21"/>
                <w:u w:val="single"/>
              </w:rPr>
              <w:t>结合《“十三五”环境影响评价改革实施方案》（环保部，2016.07.15）文件“三线一单”要求及《湖南省“三线一单”生态环境总体管控要求暨省级以上产业园区生态环境准入清单》说明生态保护红线、环境质量底线、资源利用上线和环境准入负面清单。生态保护红线图见附图5。</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eastAsia="Times New Roman" w:cs="Times New Roman"/>
                <w:sz w:val="21"/>
                <w:szCs w:val="21"/>
              </w:rPr>
              <w:t>1</w:t>
            </w:r>
            <w:r>
              <w:rPr>
                <w:rFonts w:hint="default" w:cs="Times New Roman"/>
                <w:sz w:val="21"/>
                <w:szCs w:val="21"/>
              </w:rPr>
              <w:t>、生态保护红线</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cs="Times New Roman"/>
                <w:sz w:val="21"/>
                <w:szCs w:val="21"/>
              </w:rPr>
              <w:t>项目选址位于岳阳经济技术开发区新园路以南金凤桥路以东木里港工业园，项目所在地用地规划为建设用地。根据湖南省人民政府关于印发《湖南省生态保护红线》的通知（湘政发〔</w:t>
            </w:r>
            <w:r>
              <w:rPr>
                <w:rFonts w:hint="default" w:eastAsia="Times New Roman" w:cs="Times New Roman"/>
                <w:sz w:val="21"/>
                <w:szCs w:val="21"/>
              </w:rPr>
              <w:t>2018</w:t>
            </w:r>
            <w:r>
              <w:rPr>
                <w:rFonts w:hint="default" w:cs="Times New Roman"/>
                <w:sz w:val="21"/>
                <w:szCs w:val="21"/>
              </w:rPr>
              <w:t>〕</w:t>
            </w:r>
            <w:r>
              <w:rPr>
                <w:rFonts w:hint="default" w:eastAsia="Times New Roman" w:cs="Times New Roman"/>
                <w:sz w:val="21"/>
                <w:szCs w:val="21"/>
              </w:rPr>
              <w:t>20</w:t>
            </w:r>
            <w:r>
              <w:rPr>
                <w:rFonts w:hint="default" w:cs="Times New Roman"/>
                <w:sz w:val="21"/>
                <w:szCs w:val="21"/>
              </w:rPr>
              <w:t>号）中关于岳阳市生态保护红线的要求，本项目不在岳阳市拟生态保护红线规划一级及二级管控区内。</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eastAsia="Times New Roman" w:cs="Times New Roman"/>
                <w:sz w:val="21"/>
                <w:szCs w:val="21"/>
              </w:rPr>
              <w:t>2</w:t>
            </w:r>
            <w:r>
              <w:rPr>
                <w:rFonts w:hint="default" w:cs="Times New Roman"/>
                <w:sz w:val="21"/>
                <w:szCs w:val="21"/>
              </w:rPr>
              <w:t>、环境质量底线</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cs="Times New Roman"/>
                <w:sz w:val="21"/>
                <w:szCs w:val="21"/>
              </w:rPr>
              <w:t>本项目以实测数据分析区域环境质量现状，根据环境质量现状章节可知，项目所在区域环境空气为不达标区，</w:t>
            </w:r>
            <w:r>
              <w:rPr>
                <w:rFonts w:hint="default" w:cs="Times New Roman"/>
                <w:kern w:val="2"/>
                <w:sz w:val="21"/>
                <w:szCs w:val="21"/>
              </w:rPr>
              <w:t>根据《湖南省“蓝天保卫战”实施方案（2018—2020年）》，“重点抓好全省特护期和长沙市、株洲市、湘潭市以及常德市、岳阳市、益阳市等传输通道城市环境空气质量改善，确保完成目标任务。”“工业生产企业采取密闭、围挡、遮盖、清扫、洒水等措施，减少内部物料堆存、传输、装卸等环节产生的粉尘和气态污染物的排放。”本项目将严格执行污染防治措施，使污染物达标排放。</w:t>
            </w:r>
            <w:r>
              <w:rPr>
                <w:rFonts w:hint="default" w:cs="Times New Roman"/>
                <w:sz w:val="21"/>
                <w:szCs w:val="21"/>
              </w:rPr>
              <w:t>区域环境噪声达到《声环境质量标准》（</w:t>
            </w:r>
            <w:r>
              <w:rPr>
                <w:rFonts w:hint="default" w:eastAsia="Times New Roman" w:cs="Times New Roman"/>
                <w:sz w:val="21"/>
                <w:szCs w:val="21"/>
              </w:rPr>
              <w:t>GB3096-2008</w:t>
            </w:r>
            <w:r>
              <w:rPr>
                <w:rFonts w:hint="default" w:cs="Times New Roman"/>
                <w:sz w:val="21"/>
                <w:szCs w:val="21"/>
              </w:rPr>
              <w:t>）3类标准。南湖监测断面总磷、BOD</w:t>
            </w:r>
            <w:r>
              <w:rPr>
                <w:rFonts w:hint="default" w:cs="Times New Roman"/>
                <w:sz w:val="21"/>
                <w:szCs w:val="21"/>
                <w:vertAlign w:val="subscript"/>
              </w:rPr>
              <w:t>5</w:t>
            </w:r>
            <w:r>
              <w:rPr>
                <w:rFonts w:hint="default" w:cs="Times New Roman"/>
                <w:sz w:val="21"/>
                <w:szCs w:val="21"/>
              </w:rPr>
              <w:t>超标，其他各项指标均达到《地表水环境质量标准》（</w:t>
            </w:r>
            <w:r>
              <w:rPr>
                <w:rFonts w:hint="default" w:eastAsia="Times New Roman" w:cs="Times New Roman"/>
                <w:sz w:val="21"/>
                <w:szCs w:val="21"/>
              </w:rPr>
              <w:t>GB3838-2002</w:t>
            </w:r>
            <w:r>
              <w:rPr>
                <w:rFonts w:hint="default" w:cs="Times New Roman"/>
                <w:sz w:val="21"/>
                <w:szCs w:val="21"/>
              </w:rPr>
              <w:t>）中Ⅲ类标准。</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cs="Times New Roman"/>
                <w:sz w:val="21"/>
                <w:szCs w:val="21"/>
              </w:rPr>
              <w:t>项目建设经本评价提出的污染防治措施处理后均能达标排放，不会导致当地的区域环境质量下降，区域环境质量基本能维持现状，故符合环境质量底线要求。</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eastAsia="Times New Roman" w:cs="Times New Roman"/>
                <w:sz w:val="21"/>
                <w:szCs w:val="21"/>
              </w:rPr>
              <w:t>3</w:t>
            </w:r>
            <w:r>
              <w:rPr>
                <w:rFonts w:hint="default" w:cs="Times New Roman"/>
                <w:sz w:val="21"/>
                <w:szCs w:val="21"/>
              </w:rPr>
              <w:t>、资源利用上线</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cs="Times New Roman"/>
                <w:sz w:val="21"/>
                <w:szCs w:val="21"/>
              </w:rPr>
              <w:t>本项目所用资源主要为电能和水等，所占资源较少，污染物排放量较小，且区域电能和水资源丰富，故符合资源利用上线要求。</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eastAsia="Times New Roman" w:cs="Times New Roman"/>
                <w:sz w:val="21"/>
                <w:szCs w:val="21"/>
              </w:rPr>
              <w:t>4</w:t>
            </w:r>
            <w:r>
              <w:rPr>
                <w:rFonts w:hint="default" w:cs="Times New Roman"/>
                <w:sz w:val="21"/>
                <w:szCs w:val="21"/>
              </w:rPr>
              <w:t>、环境准入负面清单</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default" w:cs="Times New Roman"/>
                <w:sz w:val="21"/>
                <w:szCs w:val="21"/>
                <w:u w:val="single"/>
              </w:rPr>
              <w:t>根据《湖南省“三线一单”生态环境总体管控要求暨省级以上产业园区生态环境准入清单》中“6-1 岳阳经济技术开发区”的要求，本项目为桥梁钢结构（3.25万t/a）生产项目 ，本项目VOCs经处理后达标排放，不属于高 VOCs 排放建设项目。区域内生产、生活污水经规划的片区污水管网，送罗家坡污水处理厂处理后排入南湖；雨水经雨水管网收集后外排进入南湖。</w:t>
            </w:r>
            <w:r>
              <w:rPr>
                <w:rFonts w:hint="eastAsia" w:cs="Times New Roman"/>
                <w:sz w:val="21"/>
                <w:szCs w:val="21"/>
                <w:u w:val="single"/>
                <w:lang w:eastAsia="zh-CN"/>
              </w:rPr>
              <w:t>尽量</w:t>
            </w:r>
            <w:r>
              <w:rPr>
                <w:rFonts w:hint="default" w:cs="Times New Roman"/>
                <w:sz w:val="21"/>
                <w:szCs w:val="21"/>
                <w:u w:val="single"/>
              </w:rPr>
              <w:t>使用低VOCs 含量的原辅材料，本项目油性漆：</w:t>
            </w:r>
            <w:r>
              <w:rPr>
                <w:rFonts w:hint="eastAsia" w:cs="Times New Roman"/>
                <w:sz w:val="21"/>
                <w:szCs w:val="21"/>
                <w:u w:val="single"/>
                <w:lang w:eastAsia="zh-CN"/>
              </w:rPr>
              <w:t>稀释剂：</w:t>
            </w:r>
            <w:r>
              <w:rPr>
                <w:rFonts w:hint="default" w:cs="Times New Roman"/>
                <w:sz w:val="21"/>
                <w:szCs w:val="21"/>
                <w:u w:val="single"/>
              </w:rPr>
              <w:t>水性漆=</w:t>
            </w:r>
            <w:r>
              <w:rPr>
                <w:rFonts w:hint="eastAsia" w:cs="Times New Roman"/>
                <w:sz w:val="21"/>
                <w:szCs w:val="21"/>
                <w:u w:val="single"/>
                <w:lang w:val="en-US" w:eastAsia="zh-CN"/>
              </w:rPr>
              <w:t>2</w:t>
            </w:r>
            <w:r>
              <w:rPr>
                <w:rFonts w:hint="default" w:cs="Times New Roman"/>
                <w:sz w:val="21"/>
                <w:szCs w:val="21"/>
                <w:u w:val="single"/>
              </w:rPr>
              <w:t>:1:</w:t>
            </w:r>
            <w:r>
              <w:rPr>
                <w:rFonts w:hint="eastAsia" w:cs="Times New Roman"/>
                <w:sz w:val="21"/>
                <w:szCs w:val="21"/>
                <w:u w:val="single"/>
                <w:lang w:val="en-US" w:eastAsia="zh-CN"/>
              </w:rPr>
              <w:t>1</w:t>
            </w:r>
            <w:r>
              <w:rPr>
                <w:rFonts w:hint="default" w:cs="Times New Roman"/>
                <w:sz w:val="21"/>
                <w:szCs w:val="21"/>
                <w:u w:val="single"/>
              </w:rPr>
              <w:t>，；强化末端治理，VOCs采用</w:t>
            </w:r>
            <w:r>
              <w:rPr>
                <w:rFonts w:hint="eastAsia" w:cs="Times New Roman"/>
                <w:sz w:val="21"/>
                <w:szCs w:val="21"/>
                <w:u w:val="single"/>
              </w:rPr>
              <w:t>封闭的</w:t>
            </w:r>
            <w:r>
              <w:rPr>
                <w:rFonts w:hint="default" w:cs="Times New Roman"/>
                <w:sz w:val="21"/>
                <w:szCs w:val="21"/>
                <w:u w:val="single"/>
              </w:rPr>
              <w:t>喷漆房+水帘+活性炭吸附</w:t>
            </w:r>
            <w:r>
              <w:rPr>
                <w:rFonts w:hint="eastAsia"/>
                <w:sz w:val="21"/>
                <w:szCs w:val="21"/>
                <w:u w:val="single"/>
              </w:rPr>
              <w:t>+UV光解</w:t>
            </w:r>
            <w:r>
              <w:rPr>
                <w:rFonts w:hint="default" w:cs="Times New Roman"/>
                <w:sz w:val="21"/>
                <w:szCs w:val="21"/>
                <w:u w:val="single"/>
              </w:rPr>
              <w:t>的方式处理后达标排放。妥善处理和处置垃圾和固体废弃物，防止二次污染。健全危险废物源头管控、规范化管理和处置等工作机制。</w:t>
            </w:r>
          </w:p>
          <w:p>
            <w:pPr>
              <w:keepNext w:val="0"/>
              <w:keepLines w:val="0"/>
              <w:widowControl/>
              <w:suppressLineNumbers w:val="0"/>
              <w:shd w:val="clear" w:color="auto" w:fill="FFFFFF"/>
              <w:adjustRightInd/>
              <w:snapToGrid/>
              <w:spacing w:before="0" w:beforeAutospacing="0" w:after="270" w:afterAutospacing="0" w:line="240" w:lineRule="auto"/>
              <w:ind w:left="0" w:right="0" w:firstLine="540" w:firstLineChars="0"/>
              <w:rPr>
                <w:rFonts w:hint="default" w:eastAsia="微软雅黑" w:cs="Times New Roman"/>
                <w:sz w:val="21"/>
                <w:szCs w:val="21"/>
              </w:rPr>
            </w:pPr>
            <w:r>
              <w:rPr>
                <w:rFonts w:hint="default" w:cs="Times New Roman"/>
                <w:sz w:val="21"/>
                <w:szCs w:val="21"/>
              </w:rPr>
              <w:t>综上所述，本项目建设符合</w:t>
            </w:r>
            <w:r>
              <w:rPr>
                <w:rFonts w:hint="default" w:eastAsia="Times New Roman" w:cs="Times New Roman"/>
                <w:sz w:val="21"/>
                <w:szCs w:val="21"/>
              </w:rPr>
              <w:t>“</w:t>
            </w:r>
            <w:r>
              <w:rPr>
                <w:rFonts w:hint="default" w:cs="Times New Roman"/>
                <w:sz w:val="21"/>
                <w:szCs w:val="21"/>
              </w:rPr>
              <w:t>三线一单</w:t>
            </w:r>
            <w:r>
              <w:rPr>
                <w:rFonts w:hint="default" w:eastAsia="Times New Roman" w:cs="Times New Roman"/>
                <w:sz w:val="21"/>
                <w:szCs w:val="21"/>
              </w:rPr>
              <w:t>”</w:t>
            </w:r>
            <w:r>
              <w:rPr>
                <w:rFonts w:hint="default" w:cs="Times New Roman"/>
                <w:sz w:val="21"/>
                <w:szCs w:val="21"/>
              </w:rPr>
              <w:t>相关要求。</w:t>
            </w:r>
          </w:p>
          <w:p>
            <w:pPr>
              <w:pStyle w:val="15"/>
              <w:keepNext w:val="0"/>
              <w:keepLines w:val="0"/>
              <w:widowControl/>
              <w:numPr>
                <w:ilvl w:val="0"/>
                <w:numId w:val="2"/>
              </w:numPr>
              <w:suppressLineNumbers w:val="0"/>
              <w:spacing w:before="0" w:beforeAutospacing="0" w:afterAutospacing="0"/>
              <w:ind w:right="0" w:firstLineChars="0"/>
              <w:rPr>
                <w:rFonts w:hint="default" w:cs="Times New Roman"/>
                <w:b/>
                <w:bCs/>
                <w:kern w:val="2"/>
                <w:sz w:val="21"/>
                <w:szCs w:val="21"/>
                <w:u w:val="single"/>
                <w:lang w:bidi="ar"/>
              </w:rPr>
            </w:pPr>
            <w:r>
              <w:rPr>
                <w:rFonts w:hint="default" w:cs="Times New Roman"/>
                <w:b/>
                <w:bCs/>
                <w:kern w:val="2"/>
                <w:sz w:val="21"/>
                <w:szCs w:val="21"/>
                <w:u w:val="single"/>
                <w:lang w:bidi="ar"/>
              </w:rPr>
              <w:t>罗家坡污水处理厂接纳本项目废水可行性分析</w:t>
            </w:r>
          </w:p>
          <w:p>
            <w:pPr>
              <w:pStyle w:val="15"/>
              <w:keepNext w:val="0"/>
              <w:keepLines w:val="0"/>
              <w:widowControl/>
              <w:suppressLineNumbers w:val="0"/>
              <w:spacing w:before="0" w:beforeAutospacing="0" w:afterAutospacing="0"/>
              <w:ind w:left="0" w:right="0" w:firstLine="420"/>
              <w:rPr>
                <w:rFonts w:hint="default" w:cs="Times New Roman"/>
                <w:sz w:val="21"/>
                <w:szCs w:val="21"/>
                <w:u w:val="single"/>
              </w:rPr>
            </w:pPr>
            <w:r>
              <w:rPr>
                <w:rFonts w:hint="default" w:cs="Times New Roman"/>
                <w:sz w:val="21"/>
                <w:szCs w:val="21"/>
                <w:u w:val="single"/>
              </w:rPr>
              <w:t>岳阳市罗家坡污水处理厂于2016年建设，湖南岳阳市罗家坡污水处理厂采用较为先进的污水处理工艺， 其设计规模为5万立方米/日， 先期日处理规模达到5万立方米/日，项目投资近12500万元，岳阳市罗家坡污水处理厂二期扩建工程建设地点：岳阳经济技术开发区康王乡新华村，总用地270亩，一期占地93亩。 建设规模：总规模为20×10</w:t>
            </w:r>
            <w:r>
              <w:rPr>
                <w:rFonts w:hint="default" w:cs="Times New Roman"/>
                <w:sz w:val="21"/>
                <w:szCs w:val="21"/>
                <w:u w:val="single"/>
                <w:vertAlign w:val="superscript"/>
              </w:rPr>
              <w:t>4</w:t>
            </w:r>
            <w:r>
              <w:rPr>
                <w:rFonts w:hint="default" w:cs="Times New Roman"/>
                <w:sz w:val="21"/>
                <w:szCs w:val="21"/>
                <w:u w:val="single"/>
              </w:rPr>
              <w:t>m³/d，一期规模5×10</w:t>
            </w:r>
            <w:r>
              <w:rPr>
                <w:rFonts w:hint="default" w:cs="Times New Roman"/>
                <w:sz w:val="21"/>
                <w:szCs w:val="21"/>
                <w:u w:val="single"/>
                <w:vertAlign w:val="superscript"/>
              </w:rPr>
              <w:t>4</w:t>
            </w:r>
            <w:r>
              <w:rPr>
                <w:rFonts w:hint="default" w:cs="Times New Roman"/>
                <w:sz w:val="21"/>
                <w:szCs w:val="21"/>
                <w:u w:val="single"/>
              </w:rPr>
              <w:t>m³/d，于2010年6月建成并投入使用。二期工程建设日处理5万吨的污水处理厂一座及厂内配套污水收集管网。污水处理工艺：采用A/A/0工艺。 出水水质：达到《城镇污水处理厂污染物排放标准》（GB18918-2002）一级A标。</w:t>
            </w:r>
          </w:p>
          <w:p>
            <w:pPr>
              <w:pStyle w:val="15"/>
              <w:keepNext w:val="0"/>
              <w:keepLines w:val="0"/>
              <w:widowControl/>
              <w:suppressLineNumbers w:val="0"/>
              <w:spacing w:before="0" w:beforeAutospacing="0" w:afterAutospacing="0"/>
              <w:ind w:left="0" w:right="0" w:firstLine="420"/>
              <w:rPr>
                <w:rFonts w:hint="default" w:cs="Times New Roman"/>
                <w:sz w:val="21"/>
                <w:szCs w:val="21"/>
                <w:u w:val="single"/>
              </w:rPr>
            </w:pPr>
            <w:r>
              <w:rPr>
                <w:rFonts w:hint="default" w:cs="Times New Roman"/>
                <w:sz w:val="21"/>
                <w:szCs w:val="21"/>
                <w:u w:val="single"/>
              </w:rPr>
              <w:t>本项目所在地</w:t>
            </w:r>
            <w:r>
              <w:rPr>
                <w:rFonts w:hint="default" w:cs="Times New Roman"/>
                <w:bCs/>
                <w:kern w:val="2"/>
                <w:sz w:val="21"/>
                <w:szCs w:val="21"/>
                <w:u w:val="single"/>
                <w:lang w:bidi="ar"/>
              </w:rPr>
              <w:t>属于罗家坡污水处理厂纳污范围，见附图9。</w:t>
            </w:r>
            <w:r>
              <w:rPr>
                <w:rFonts w:hint="default" w:cs="Times New Roman"/>
                <w:sz w:val="21"/>
                <w:szCs w:val="21"/>
                <w:u w:val="single"/>
              </w:rPr>
              <w:t>废水进入罗家坡污水处理厂二期进行处理。因本项目废水日产生量为8.36m³/d，以生活废水为主，不会对污水处理厂造成冲击，因此排入罗家坡污水处理厂二期可行。</w:t>
            </w:r>
          </w:p>
          <w:p>
            <w:pPr>
              <w:pStyle w:val="15"/>
              <w:keepNext w:val="0"/>
              <w:keepLines w:val="0"/>
              <w:widowControl/>
              <w:numPr>
                <w:ilvl w:val="0"/>
                <w:numId w:val="2"/>
              </w:numPr>
              <w:suppressLineNumbers w:val="0"/>
              <w:spacing w:before="0" w:beforeAutospacing="0" w:afterAutospacing="0"/>
              <w:ind w:left="0" w:right="0" w:firstLine="420" w:firstLineChars="0"/>
              <w:rPr>
                <w:rFonts w:hint="default" w:cs="Times New Roman"/>
                <w:b/>
                <w:sz w:val="21"/>
                <w:szCs w:val="21"/>
                <w:u w:val="single"/>
              </w:rPr>
            </w:pPr>
            <w:r>
              <w:rPr>
                <w:rFonts w:hint="default" w:cs="Times New Roman"/>
                <w:b/>
                <w:sz w:val="21"/>
                <w:szCs w:val="21"/>
                <w:u w:val="single"/>
              </w:rPr>
              <w:t>污染防治设施及排气筒设置的合理性</w:t>
            </w:r>
          </w:p>
          <w:p>
            <w:pPr>
              <w:pStyle w:val="15"/>
              <w:keepNext w:val="0"/>
              <w:keepLines w:val="0"/>
              <w:widowControl/>
              <w:suppressLineNumbers w:val="0"/>
              <w:spacing w:before="0" w:beforeAutospacing="0" w:afterAutospacing="0"/>
              <w:ind w:left="480" w:right="0" w:firstLine="0" w:firstLineChars="0"/>
              <w:rPr>
                <w:rFonts w:hint="default" w:cs="Times New Roman"/>
                <w:bCs/>
                <w:sz w:val="21"/>
                <w:szCs w:val="21"/>
                <w:u w:val="single"/>
              </w:rPr>
            </w:pPr>
            <w:r>
              <w:rPr>
                <w:rFonts w:hint="default" w:cs="Times New Roman"/>
                <w:bCs/>
                <w:sz w:val="21"/>
                <w:szCs w:val="21"/>
                <w:u w:val="single"/>
              </w:rPr>
              <w:t>本项目废气处理措施如下所示。</w:t>
            </w:r>
          </w:p>
          <w:tbl>
            <w:tblPr>
              <w:tblStyle w:val="2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0"/>
              <w:gridCol w:w="1290"/>
              <w:gridCol w:w="39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11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排放源</w:t>
                  </w:r>
                </w:p>
              </w:tc>
              <w:tc>
                <w:tcPr>
                  <w:tcW w:w="12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污染物名称</w:t>
                  </w:r>
                </w:p>
              </w:tc>
              <w:tc>
                <w:tcPr>
                  <w:tcW w:w="3982"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处理方式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11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焊接烟气</w:t>
                  </w:r>
                </w:p>
              </w:tc>
              <w:tc>
                <w:tcPr>
                  <w:tcW w:w="12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颗粒物</w:t>
                  </w:r>
                </w:p>
              </w:tc>
              <w:tc>
                <w:tcPr>
                  <w:tcW w:w="3982"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eastAsia"/>
                      <w:szCs w:val="21"/>
                      <w:u w:val="single"/>
                    </w:rPr>
                    <w:t>移动式烟尘净化器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11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喷砂废气</w:t>
                  </w:r>
                </w:p>
              </w:tc>
              <w:tc>
                <w:tcPr>
                  <w:tcW w:w="12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颗粒物</w:t>
                  </w:r>
                </w:p>
              </w:tc>
              <w:tc>
                <w:tcPr>
                  <w:tcW w:w="3982"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eastAsia"/>
                      <w:szCs w:val="21"/>
                      <w:u w:val="single"/>
                    </w:rPr>
                    <w:t>封闭的喷砂房+抽风管道+水浴池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11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切割废气</w:t>
                  </w:r>
                </w:p>
              </w:tc>
              <w:tc>
                <w:tcPr>
                  <w:tcW w:w="1290"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颗粒物</w:t>
                  </w:r>
                </w:p>
              </w:tc>
              <w:tc>
                <w:tcPr>
                  <w:tcW w:w="3982"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eastAsia"/>
                      <w:szCs w:val="21"/>
                      <w:u w:val="single"/>
                    </w:rPr>
                    <w:t>移动式烟尘净化器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1190" w:type="dxa"/>
                  <w:vMerge w:val="restart"/>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喷漆废气</w:t>
                  </w:r>
                </w:p>
              </w:tc>
              <w:tc>
                <w:tcPr>
                  <w:tcW w:w="1290" w:type="dxa"/>
                  <w:vMerge w:val="restart"/>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VOCs</w:t>
                  </w:r>
                </w:p>
              </w:tc>
              <w:tc>
                <w:tcPr>
                  <w:tcW w:w="3982"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eastAsia"/>
                      <w:szCs w:val="21"/>
                    </w:rPr>
                    <w:t>封闭的</w:t>
                  </w:r>
                  <w:r>
                    <w:rPr>
                      <w:rFonts w:hint="default"/>
                      <w:szCs w:val="21"/>
                      <w:u w:val="single"/>
                    </w:rPr>
                    <w:t>喷漆房+水帘柜+活性炭吸附装置</w:t>
                  </w:r>
                  <w:r>
                    <w:rPr>
                      <w:rFonts w:hint="eastAsia"/>
                      <w:szCs w:val="21"/>
                      <w:u w:val="single"/>
                    </w:rPr>
                    <w:t>+UV光解</w:t>
                  </w:r>
                  <w:r>
                    <w:rPr>
                      <w:rFonts w:hint="default"/>
                      <w:szCs w:val="21"/>
                      <w:u w:val="single"/>
                    </w:rPr>
                    <w:t>+15m高排气筒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 w:hRule="atLeast"/>
                <w:jc w:val="center"/>
              </w:trPr>
              <w:tc>
                <w:tcPr>
                  <w:tcW w:w="1190" w:type="dxa"/>
                  <w:vMerge w:val="continue"/>
                  <w:vAlign w:val="center"/>
                </w:tcPr>
                <w:p>
                  <w:pPr>
                    <w:pStyle w:val="52"/>
                    <w:keepNext w:val="0"/>
                    <w:keepLines w:val="0"/>
                    <w:suppressLineNumbers w:val="0"/>
                    <w:spacing w:before="0" w:beforeAutospacing="0" w:after="0" w:afterAutospacing="0"/>
                    <w:ind w:left="0" w:right="0"/>
                    <w:rPr>
                      <w:rFonts w:hint="default"/>
                      <w:szCs w:val="21"/>
                      <w:u w:val="single"/>
                    </w:rPr>
                  </w:pPr>
                </w:p>
              </w:tc>
              <w:tc>
                <w:tcPr>
                  <w:tcW w:w="1290" w:type="dxa"/>
                  <w:vMerge w:val="continue"/>
                  <w:vAlign w:val="center"/>
                </w:tcPr>
                <w:p>
                  <w:pPr>
                    <w:pStyle w:val="52"/>
                    <w:keepNext w:val="0"/>
                    <w:keepLines w:val="0"/>
                    <w:suppressLineNumbers w:val="0"/>
                    <w:spacing w:before="0" w:beforeAutospacing="0" w:after="0" w:afterAutospacing="0"/>
                    <w:ind w:left="0" w:right="0"/>
                    <w:rPr>
                      <w:rFonts w:hint="default"/>
                      <w:szCs w:val="21"/>
                      <w:u w:val="single"/>
                    </w:rPr>
                  </w:pPr>
                </w:p>
              </w:tc>
              <w:tc>
                <w:tcPr>
                  <w:tcW w:w="3982" w:type="dxa"/>
                  <w:vAlign w:val="center"/>
                </w:tcPr>
                <w:p>
                  <w:pPr>
                    <w:pStyle w:val="52"/>
                    <w:keepNext w:val="0"/>
                    <w:keepLines w:val="0"/>
                    <w:suppressLineNumbers w:val="0"/>
                    <w:spacing w:before="0" w:beforeAutospacing="0" w:after="0" w:afterAutospacing="0"/>
                    <w:ind w:left="0" w:right="0"/>
                    <w:rPr>
                      <w:rFonts w:hint="default"/>
                      <w:szCs w:val="21"/>
                      <w:u w:val="single"/>
                    </w:rPr>
                  </w:pPr>
                  <w:r>
                    <w:rPr>
                      <w:rFonts w:hint="default"/>
                      <w:szCs w:val="21"/>
                      <w:u w:val="single"/>
                    </w:rPr>
                    <w:t>无组织排放</w:t>
                  </w:r>
                </w:p>
              </w:tc>
            </w:tr>
          </w:tbl>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default" w:cs="Times New Roman"/>
                <w:sz w:val="21"/>
                <w:szCs w:val="21"/>
                <w:u w:val="single"/>
              </w:rPr>
              <w:t>在喷漆房设置15m高排气筒</w:t>
            </w:r>
            <w:r>
              <w:rPr>
                <w:rFonts w:hint="eastAsia" w:cs="Times New Roman"/>
                <w:sz w:val="21"/>
                <w:szCs w:val="21"/>
                <w:u w:val="single"/>
                <w:lang w:val="en-US" w:eastAsia="zh-CN"/>
              </w:rPr>
              <w:t>1个</w:t>
            </w:r>
            <w:r>
              <w:rPr>
                <w:rFonts w:hint="default" w:cs="Times New Roman"/>
                <w:sz w:val="21"/>
                <w:szCs w:val="21"/>
                <w:u w:val="single"/>
              </w:rPr>
              <w:t>，其污染防治设施及排气筒设置合理。</w:t>
            </w:r>
          </w:p>
          <w:p>
            <w:pPr>
              <w:pStyle w:val="15"/>
              <w:keepNext w:val="0"/>
              <w:keepLines w:val="0"/>
              <w:widowControl/>
              <w:numPr>
                <w:ilvl w:val="0"/>
                <w:numId w:val="2"/>
              </w:numPr>
              <w:suppressLineNumbers w:val="0"/>
              <w:spacing w:before="0" w:beforeAutospacing="0" w:afterAutospacing="0"/>
              <w:ind w:left="0" w:right="0" w:firstLine="420" w:firstLineChars="0"/>
              <w:rPr>
                <w:rFonts w:hint="default" w:cs="Times New Roman"/>
                <w:b/>
                <w:sz w:val="21"/>
                <w:szCs w:val="21"/>
                <w:u w:val="single"/>
              </w:rPr>
            </w:pPr>
            <w:r>
              <w:rPr>
                <w:rFonts w:hint="default" w:cs="Times New Roman"/>
                <w:b/>
                <w:sz w:val="21"/>
                <w:szCs w:val="21"/>
                <w:u w:val="single"/>
              </w:rPr>
              <w:t>采用</w:t>
            </w:r>
            <w:r>
              <w:rPr>
                <w:rFonts w:hint="eastAsia" w:cs="Times New Roman"/>
                <w:b/>
                <w:sz w:val="21"/>
                <w:szCs w:val="21"/>
                <w:u w:val="single"/>
              </w:rPr>
              <w:t>封闭的</w:t>
            </w:r>
            <w:r>
              <w:rPr>
                <w:rFonts w:hint="default" w:cs="Times New Roman"/>
                <w:b/>
                <w:sz w:val="21"/>
                <w:szCs w:val="21"/>
                <w:u w:val="single"/>
              </w:rPr>
              <w:t>喷漆房+水帘+活性碳吸附</w:t>
            </w:r>
            <w:r>
              <w:rPr>
                <w:rFonts w:hint="eastAsia" w:cs="Times New Roman"/>
                <w:b/>
                <w:sz w:val="21"/>
                <w:szCs w:val="21"/>
                <w:u w:val="single"/>
              </w:rPr>
              <w:t>+UV光解</w:t>
            </w:r>
            <w:r>
              <w:rPr>
                <w:rFonts w:hint="default" w:cs="Times New Roman"/>
                <w:b/>
                <w:sz w:val="21"/>
                <w:szCs w:val="21"/>
                <w:u w:val="single"/>
              </w:rPr>
              <w:t>工艺路线的合理性</w:t>
            </w:r>
            <w:r>
              <w:rPr>
                <w:rFonts w:hint="eastAsia" w:cs="Times New Roman"/>
                <w:b/>
                <w:sz w:val="21"/>
                <w:szCs w:val="21"/>
                <w:u w:val="single"/>
              </w:rPr>
              <w:t>及废气达标可行性分析</w:t>
            </w:r>
          </w:p>
          <w:p>
            <w:pPr>
              <w:pStyle w:val="15"/>
              <w:keepNext w:val="0"/>
              <w:keepLines w:val="0"/>
              <w:widowControl/>
              <w:suppressLineNumbers w:val="0"/>
              <w:spacing w:before="0" w:beforeAutospacing="0" w:afterAutospacing="0"/>
              <w:ind w:left="0" w:right="0" w:firstLine="420"/>
              <w:rPr>
                <w:rFonts w:hint="default" w:cs="Times New Roman"/>
                <w:sz w:val="21"/>
                <w:szCs w:val="21"/>
                <w:u w:val="single"/>
              </w:rPr>
            </w:pPr>
            <w:r>
              <w:rPr>
                <w:rFonts w:hint="eastAsia"/>
                <w:sz w:val="21"/>
                <w:szCs w:val="21"/>
                <w:u w:val="single"/>
              </w:rPr>
              <w:t>采用</w:t>
            </w:r>
            <w:r>
              <w:rPr>
                <w:rFonts w:hint="eastAsia" w:cs="Times New Roman"/>
                <w:sz w:val="21"/>
                <w:szCs w:val="21"/>
              </w:rPr>
              <w:t>封闭的</w:t>
            </w:r>
            <w:r>
              <w:rPr>
                <w:rFonts w:hint="eastAsia"/>
                <w:sz w:val="21"/>
                <w:szCs w:val="21"/>
                <w:u w:val="single"/>
              </w:rPr>
              <w:t>喷漆房+水帘柜+活性炭吸附装置+UV光解对喷漆废气进行处理，</w:t>
            </w:r>
            <w:r>
              <w:rPr>
                <w:rFonts w:hint="default" w:cs="Times New Roman"/>
                <w:bCs/>
                <w:sz w:val="21"/>
                <w:szCs w:val="21"/>
                <w:u w:val="single"/>
              </w:rPr>
              <w:t>类比《</w:t>
            </w:r>
            <w:r>
              <w:rPr>
                <w:rFonts w:hint="default" w:cs="Times New Roman"/>
                <w:sz w:val="21"/>
                <w:szCs w:val="21"/>
                <w:u w:val="single"/>
              </w:rPr>
              <w:t>湖南乐庭家居有限公司年产20万件/套家具家居制品建设项目》</w:t>
            </w:r>
            <w:r>
              <w:rPr>
                <w:rFonts w:hint="default" w:cs="Times New Roman"/>
                <w:bCs/>
                <w:sz w:val="21"/>
                <w:szCs w:val="21"/>
                <w:u w:val="single"/>
              </w:rPr>
              <w:t>，</w:t>
            </w:r>
            <w:r>
              <w:rPr>
                <w:rFonts w:hint="eastAsia" w:cs="Times New Roman"/>
                <w:bCs/>
                <w:sz w:val="21"/>
                <w:szCs w:val="21"/>
                <w:u w:val="single"/>
              </w:rPr>
              <w:t>密闭的</w:t>
            </w:r>
            <w:r>
              <w:rPr>
                <w:rFonts w:hint="eastAsia"/>
                <w:sz w:val="21"/>
                <w:szCs w:val="21"/>
                <w:u w:val="single"/>
              </w:rPr>
              <w:t>喷漆房收集废气的效率为9</w:t>
            </w:r>
            <w:r>
              <w:rPr>
                <w:rFonts w:hint="default"/>
                <w:sz w:val="21"/>
                <w:szCs w:val="21"/>
                <w:u w:val="single"/>
              </w:rPr>
              <w:t>0%</w:t>
            </w:r>
            <w:r>
              <w:rPr>
                <w:rFonts w:hint="eastAsia"/>
                <w:sz w:val="21"/>
                <w:szCs w:val="21"/>
                <w:u w:val="single"/>
              </w:rPr>
              <w:t>以上，水帘柜去除VOC的效率为</w:t>
            </w:r>
            <w:r>
              <w:rPr>
                <w:rFonts w:hint="default"/>
                <w:sz w:val="21"/>
                <w:szCs w:val="21"/>
                <w:u w:val="single"/>
              </w:rPr>
              <w:t>70</w:t>
            </w:r>
            <w:r>
              <w:rPr>
                <w:rFonts w:hint="eastAsia"/>
                <w:sz w:val="21"/>
                <w:szCs w:val="21"/>
                <w:u w:val="single"/>
              </w:rPr>
              <w:t>%，活性炭吸附效率为60%，UV光解处理效率为</w:t>
            </w:r>
            <w:r>
              <w:rPr>
                <w:rFonts w:hint="eastAsia"/>
                <w:sz w:val="21"/>
                <w:szCs w:val="21"/>
              </w:rPr>
              <w:t>30%，</w:t>
            </w:r>
            <w:r>
              <w:rPr>
                <w:rFonts w:hint="eastAsia"/>
                <w:sz w:val="21"/>
                <w:szCs w:val="21"/>
                <w:u w:val="single"/>
              </w:rPr>
              <w:t>则总处理效率为1-（1-</w:t>
            </w:r>
            <w:r>
              <w:rPr>
                <w:rFonts w:hint="default"/>
                <w:sz w:val="21"/>
                <w:szCs w:val="21"/>
                <w:u w:val="single"/>
              </w:rPr>
              <w:t>7</w:t>
            </w:r>
            <w:r>
              <w:rPr>
                <w:rFonts w:hint="eastAsia"/>
                <w:sz w:val="21"/>
                <w:szCs w:val="21"/>
                <w:u w:val="single"/>
              </w:rPr>
              <w:t>0%）</w:t>
            </w:r>
            <w:r>
              <w:rPr>
                <w:rFonts w:hint="default" w:ascii="Arial" w:hAnsi="Arial" w:cs="Arial"/>
                <w:sz w:val="21"/>
                <w:szCs w:val="21"/>
                <w:u w:val="single"/>
              </w:rPr>
              <w:t>×</w:t>
            </w:r>
            <w:r>
              <w:rPr>
                <w:rFonts w:hint="eastAsia"/>
                <w:sz w:val="21"/>
                <w:szCs w:val="21"/>
                <w:u w:val="single"/>
              </w:rPr>
              <w:t>（1-60%）</w:t>
            </w:r>
            <w:r>
              <w:rPr>
                <w:rFonts w:hint="default" w:ascii="Arial" w:hAnsi="Arial" w:cs="Arial"/>
                <w:sz w:val="21"/>
                <w:szCs w:val="21"/>
                <w:u w:val="single"/>
              </w:rPr>
              <w:t>×</w:t>
            </w:r>
            <w:r>
              <w:rPr>
                <w:rFonts w:hint="eastAsia"/>
                <w:sz w:val="21"/>
                <w:szCs w:val="21"/>
                <w:u w:val="single"/>
              </w:rPr>
              <w:t>（1-30%）=91.6%。本项目喷漆废气产生量为4779千克，无组织排放废气量为477.9千克，有组织废气排放量为361.3千克/a（0.181千克/h，18.1mg/m³）（具体计算过程见“建设项目工程分析章节”），由15m高</w:t>
            </w:r>
            <w:r>
              <w:rPr>
                <w:rFonts w:hint="eastAsia" w:cs="Times New Roman"/>
                <w:sz w:val="21"/>
                <w:szCs w:val="21"/>
                <w:u w:val="single"/>
              </w:rPr>
              <w:t>排气筒排放。经计算，排放浓度为</w:t>
            </w:r>
            <w:r>
              <w:rPr>
                <w:rFonts w:hint="eastAsia"/>
                <w:sz w:val="21"/>
                <w:szCs w:val="21"/>
                <w:u w:val="single"/>
              </w:rPr>
              <w:t>18.1</w:t>
            </w:r>
            <w:r>
              <w:rPr>
                <w:rFonts w:hint="eastAsia" w:cs="Times New Roman"/>
                <w:sz w:val="21"/>
                <w:szCs w:val="21"/>
                <w:u w:val="single"/>
              </w:rPr>
              <w:t>mg/m³，达到《表面涂装（汽车制造及维修）挥发性有机物、镍排放标准》（DB43/1356-2017）中标准限值要求。</w:t>
            </w:r>
          </w:p>
          <w:p>
            <w:pPr>
              <w:pStyle w:val="15"/>
              <w:keepNext w:val="0"/>
              <w:keepLines w:val="0"/>
              <w:widowControl/>
              <w:suppressLineNumbers w:val="0"/>
              <w:spacing w:before="0" w:beforeAutospacing="0" w:afterAutospacing="0"/>
              <w:ind w:left="0" w:right="0" w:firstLine="420"/>
              <w:rPr>
                <w:rFonts w:hint="default" w:cs="Times New Roman"/>
                <w:sz w:val="21"/>
                <w:szCs w:val="21"/>
                <w:u w:val="single"/>
              </w:rPr>
            </w:pPr>
            <w:r>
              <w:rPr>
                <w:rFonts w:hint="eastAsia" w:cs="Times New Roman"/>
                <w:sz w:val="21"/>
                <w:szCs w:val="21"/>
                <w:u w:val="single"/>
              </w:rPr>
              <w:t>综上所述，</w:t>
            </w:r>
            <w:r>
              <w:rPr>
                <w:rFonts w:hint="default" w:cs="Times New Roman"/>
                <w:sz w:val="21"/>
                <w:szCs w:val="21"/>
                <w:u w:val="single"/>
              </w:rPr>
              <w:t>其处理措施可行。</w:t>
            </w:r>
          </w:p>
          <w:p>
            <w:pPr>
              <w:keepNext w:val="0"/>
              <w:keepLines w:val="0"/>
              <w:widowControl/>
              <w:suppressLineNumbers w:val="0"/>
              <w:spacing w:before="0" w:beforeAutospacing="0" w:after="0" w:afterAutospacing="0"/>
              <w:ind w:left="0" w:right="0" w:firstLine="480"/>
              <w:rPr>
                <w:rFonts w:hint="default"/>
              </w:rPr>
            </w:pPr>
          </w:p>
        </w:tc>
      </w:tr>
    </w:tbl>
    <w:p>
      <w:pPr>
        <w:ind w:firstLine="420"/>
        <w:rPr>
          <w:rFonts w:eastAsia="黑体" w:cs="Times New Roman"/>
          <w:kern w:val="2"/>
          <w:sz w:val="21"/>
          <w:szCs w:val="21"/>
          <w:lang w:bidi="ar"/>
        </w:rPr>
        <w:sectPr>
          <w:footerReference r:id="rId12" w:type="default"/>
          <w:pgSz w:w="11906" w:h="16838"/>
          <w:pgMar w:top="1702" w:right="1531" w:bottom="1702" w:left="1531" w:header="851" w:footer="1077" w:gutter="0"/>
          <w:pgNumType w:fmt="decimal" w:start="1"/>
          <w:cols w:space="425" w:num="1"/>
          <w:docGrid w:type="lines" w:linePitch="312" w:charSpace="0"/>
        </w:sectPr>
      </w:pPr>
    </w:p>
    <w:p>
      <w:pPr>
        <w:pStyle w:val="8"/>
        <w:ind w:firstLine="562"/>
      </w:pPr>
      <w:bookmarkStart w:id="4" w:name="_Toc17326"/>
      <w:r>
        <w:t>二、建设项目工程分析</w:t>
      </w:r>
      <w:bookmarkEnd w:id="4"/>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23"/>
        <w:gridCol w:w="816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23" w:type="dxa"/>
            <w:tcBorders>
              <w:top w:val="single" w:color="auto" w:sz="8" w:space="0"/>
              <w:left w:val="single" w:color="auto" w:sz="8" w:space="0"/>
              <w:bottom w:val="single" w:color="auto" w:sz="4" w:space="0"/>
              <w:right w:val="single" w:color="auto" w:sz="4" w:space="0"/>
            </w:tcBorders>
            <w:shd w:val="clear" w:color="auto" w:fill="auto"/>
            <w:vAlign w:val="center"/>
          </w:tcPr>
          <w:p>
            <w:pPr>
              <w:pStyle w:val="22"/>
              <w:keepNext w:val="0"/>
              <w:keepLines w:val="0"/>
              <w:widowControl/>
              <w:suppressLineNumbers w:val="0"/>
              <w:spacing w:before="0" w:beforeAutospacing="0" w:after="0" w:afterAutospacing="0"/>
              <w:ind w:left="0" w:right="0" w:firstLine="0" w:firstLineChars="0"/>
              <w:jc w:val="center"/>
              <w:rPr>
                <w:rFonts w:hint="default" w:cs="宋体"/>
                <w:sz w:val="21"/>
                <w:szCs w:val="21"/>
              </w:rPr>
            </w:pPr>
            <w:r>
              <w:rPr>
                <w:rFonts w:hint="default" w:cs="宋体"/>
                <w:sz w:val="21"/>
                <w:szCs w:val="21"/>
              </w:rPr>
              <w:t>建设内容</w:t>
            </w:r>
          </w:p>
        </w:tc>
        <w:tc>
          <w:tcPr>
            <w:tcW w:w="8161" w:type="dxa"/>
            <w:tcBorders>
              <w:top w:val="single" w:color="auto" w:sz="8" w:space="0"/>
              <w:left w:val="single" w:color="auto" w:sz="4" w:space="0"/>
              <w:bottom w:val="single" w:color="auto" w:sz="4" w:space="0"/>
              <w:right w:val="single" w:color="auto" w:sz="8" w:space="0"/>
            </w:tcBorders>
            <w:shd w:val="clear" w:color="auto" w:fill="auto"/>
          </w:tcPr>
          <w:p>
            <w:pPr>
              <w:keepNext w:val="0"/>
              <w:keepLines w:val="0"/>
              <w:widowControl/>
              <w:suppressLineNumbers w:val="0"/>
              <w:spacing w:before="0" w:beforeAutospacing="0" w:after="0" w:afterAutospacing="0"/>
              <w:ind w:left="0" w:right="0" w:firstLine="422"/>
              <w:rPr>
                <w:rFonts w:hint="default"/>
                <w:b/>
                <w:bCs/>
                <w:sz w:val="21"/>
                <w:szCs w:val="21"/>
              </w:rPr>
            </w:pPr>
            <w:r>
              <w:rPr>
                <w:rFonts w:hint="eastAsia"/>
                <w:b/>
                <w:bCs/>
                <w:sz w:val="21"/>
                <w:szCs w:val="21"/>
              </w:rPr>
              <w:t>2.1建设内容</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建设内容有：</w:t>
            </w:r>
            <w:r>
              <w:rPr>
                <w:rFonts w:hint="default"/>
                <w:sz w:val="21"/>
                <w:szCs w:val="21"/>
              </w:rPr>
              <w:t>办公生活楼</w:t>
            </w:r>
            <w:r>
              <w:rPr>
                <w:rFonts w:hint="eastAsia"/>
                <w:sz w:val="21"/>
                <w:szCs w:val="21"/>
              </w:rPr>
              <w:t>、</w:t>
            </w:r>
            <w:r>
              <w:rPr>
                <w:rFonts w:hint="default"/>
                <w:sz w:val="21"/>
                <w:szCs w:val="21"/>
              </w:rPr>
              <w:t>值班站房</w:t>
            </w:r>
            <w:r>
              <w:rPr>
                <w:rFonts w:hint="eastAsia"/>
                <w:sz w:val="21"/>
                <w:szCs w:val="21"/>
              </w:rPr>
              <w:t>、生产车间和配套设施建设安装，以及其他公用工程、辅助工程建设等。</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表2-1  项目主要工程组成一览表</w:t>
            </w:r>
          </w:p>
          <w:tbl>
            <w:tblPr>
              <w:tblStyle w:val="5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5"/>
              <w:gridCol w:w="922"/>
              <w:gridCol w:w="1604"/>
              <w:gridCol w:w="3155"/>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工程类别</w:t>
                  </w:r>
                </w:p>
              </w:tc>
              <w:tc>
                <w:tcPr>
                  <w:tcW w:w="1592"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建设项目</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建设内容</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784"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主体工程</w:t>
                  </w:r>
                </w:p>
              </w:tc>
              <w:tc>
                <w:tcPr>
                  <w:tcW w:w="1592"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生产车间</w:t>
                  </w:r>
                </w:p>
              </w:tc>
              <w:tc>
                <w:tcPr>
                  <w:tcW w:w="1988"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128m*378m，车间内分为金属材料仓库、数控切割区、半成品区、废料区、焊接区、拼装区、喷漆房、探伤房等</w:t>
                  </w:r>
                </w:p>
              </w:tc>
              <w:tc>
                <w:tcPr>
                  <w:tcW w:w="634"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784"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辅助工程</w:t>
                  </w:r>
                </w:p>
              </w:tc>
              <w:tc>
                <w:tcPr>
                  <w:tcW w:w="1592"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办公楼</w:t>
                  </w:r>
                </w:p>
              </w:tc>
              <w:tc>
                <w:tcPr>
                  <w:tcW w:w="1988"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1栋</w:t>
                  </w:r>
                </w:p>
              </w:tc>
              <w:tc>
                <w:tcPr>
                  <w:tcW w:w="634"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784"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储运工程</w:t>
                  </w:r>
                </w:p>
              </w:tc>
              <w:tc>
                <w:tcPr>
                  <w:tcW w:w="1592"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仓库</w:t>
                  </w:r>
                </w:p>
              </w:tc>
              <w:tc>
                <w:tcPr>
                  <w:tcW w:w="1988"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1层</w:t>
                  </w:r>
                </w:p>
              </w:tc>
              <w:tc>
                <w:tcPr>
                  <w:tcW w:w="634" w:type="pc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restar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公用工程</w:t>
                  </w:r>
                </w:p>
              </w:tc>
              <w:tc>
                <w:tcPr>
                  <w:tcW w:w="1592"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供电</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供电管网</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592"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供水</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自来水</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restar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环保工程</w:t>
                  </w:r>
                </w:p>
              </w:tc>
              <w:tc>
                <w:tcPr>
                  <w:tcW w:w="581" w:type="pct"/>
                  <w:vMerge w:val="restar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废水</w:t>
                  </w: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生活废水</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化粪池</w:t>
                  </w:r>
                  <w:r>
                    <w:rPr>
                      <w:rFonts w:hint="eastAsia" w:ascii="Calibri" w:hAnsi="Calibri" w:eastAsia="Times New Roman"/>
                      <w:szCs w:val="21"/>
                    </w:rPr>
                    <w:t>，新建</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水压试验废水</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循环水池</w:t>
                  </w:r>
                  <w:r>
                    <w:rPr>
                      <w:rFonts w:hint="eastAsia" w:ascii="Calibri" w:hAnsi="Calibri" w:eastAsia="宋体"/>
                      <w:szCs w:val="21"/>
                      <w:lang w:eastAsia="zh-CN"/>
                    </w:rPr>
                    <w:t>1.5m*2m*3m</w:t>
                  </w:r>
                  <w:r>
                    <w:rPr>
                      <w:rFonts w:hint="eastAsia" w:ascii="Calibri" w:hAnsi="Calibri" w:eastAsia="Times New Roman"/>
                      <w:szCs w:val="21"/>
                    </w:rPr>
                    <w:t>，通过污水管网排入污水处理厂</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restart"/>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废气</w:t>
                  </w: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焊接烟气</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u w:val="single"/>
                    </w:rPr>
                    <w:t>移动式烟尘净化器</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喷砂废气</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u w:val="single"/>
                    </w:rPr>
                    <w:t>封闭的喷砂房+抽风管道+水浴池</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切割废气</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u w:val="single"/>
                    </w:rPr>
                    <w:t>移动式烟尘净化器</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喷漆废气</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封闭的喷漆房+水帘柜+活性炭吸附装置</w:t>
                  </w:r>
                  <w:r>
                    <w:rPr>
                      <w:rFonts w:hint="eastAsia" w:ascii="Calibri" w:hAnsi="Calibri" w:eastAsia="Times New Roman"/>
                      <w:szCs w:val="21"/>
                      <w:u w:val="single"/>
                    </w:rPr>
                    <w:t>+UV光解</w:t>
                  </w:r>
                  <w:r>
                    <w:rPr>
                      <w:rFonts w:hint="eastAsia" w:ascii="Calibri" w:hAnsi="Calibri" w:eastAsia="Times New Roman"/>
                      <w:szCs w:val="21"/>
                    </w:rPr>
                    <w:t>+</w:t>
                  </w:r>
                  <w:r>
                    <w:rPr>
                      <w:rFonts w:hint="default" w:ascii="Calibri" w:hAnsi="Calibri" w:eastAsia="Times New Roman"/>
                      <w:szCs w:val="21"/>
                    </w:rPr>
                    <w:t>1</w:t>
                  </w:r>
                  <w:r>
                    <w:rPr>
                      <w:rFonts w:hint="eastAsia" w:ascii="Calibri" w:hAnsi="Calibri" w:eastAsia="Times New Roman"/>
                      <w:szCs w:val="21"/>
                    </w:rPr>
                    <w:t>5高排气筒</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噪声</w:t>
                  </w:r>
                </w:p>
              </w:tc>
              <w:tc>
                <w:tcPr>
                  <w:tcW w:w="2999" w:type="pct"/>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合理布局、基础减振、建筑隔声等降噪措施</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restar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固废</w:t>
                  </w: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生活垃圾</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环卫部门定期清理外运</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废边角料</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存放于车间废料区，定期清理，由相关单位集中收购</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焊渣</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焊渣先暂存于一般固废暂存间，由相关单位集中收购</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水浴池捞渣</w:t>
                  </w:r>
                </w:p>
              </w:tc>
              <w:tc>
                <w:tcPr>
                  <w:tcW w:w="1988"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rPr>
                    <w:t>先暂存于一般固废暂存间，由相关单位集中收购</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废矿物油</w:t>
                  </w:r>
                </w:p>
              </w:tc>
              <w:tc>
                <w:tcPr>
                  <w:tcW w:w="1988" w:type="pct"/>
                  <w:vMerge w:val="restart"/>
                  <w:tcBorders>
                    <w:top w:val="single" w:color="auto" w:sz="4" w:space="0"/>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危险废物，</w:t>
                  </w:r>
                  <w:r>
                    <w:rPr>
                      <w:rFonts w:hint="eastAsia" w:ascii="Calibri" w:hAnsi="Calibri" w:eastAsia="Times New Roman"/>
                      <w:szCs w:val="21"/>
                    </w:rPr>
                    <w:t>先暂存于</w:t>
                  </w:r>
                  <w:r>
                    <w:rPr>
                      <w:rFonts w:hint="eastAsia" w:ascii="Calibri" w:hAnsi="Calibri"/>
                      <w:szCs w:val="21"/>
                      <w:lang w:eastAsia="zh-CN"/>
                    </w:rPr>
                    <w:t>危废</w:t>
                  </w:r>
                  <w:r>
                    <w:rPr>
                      <w:rFonts w:hint="eastAsia" w:ascii="Calibri" w:hAnsi="Calibri" w:eastAsia="Times New Roman"/>
                      <w:szCs w:val="21"/>
                    </w:rPr>
                    <w:t>暂存间</w:t>
                  </w:r>
                  <w:r>
                    <w:rPr>
                      <w:rFonts w:hint="eastAsia" w:ascii="Calibri" w:hAnsi="Calibri"/>
                      <w:szCs w:val="21"/>
                      <w:lang w:eastAsia="zh-CN"/>
                    </w:rPr>
                    <w:t>，</w:t>
                  </w:r>
                  <w:r>
                    <w:rPr>
                      <w:rFonts w:hint="default" w:ascii="Calibri" w:hAnsi="Calibri" w:eastAsia="Times New Roman"/>
                      <w:szCs w:val="21"/>
                    </w:rPr>
                    <w:t>由有资质单位收集处理</w:t>
                  </w: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废漆渣</w:t>
                  </w:r>
                </w:p>
              </w:tc>
              <w:tc>
                <w:tcPr>
                  <w:tcW w:w="1988"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废漆桶、废稀释剂桶</w:t>
                  </w:r>
                </w:p>
              </w:tc>
              <w:tc>
                <w:tcPr>
                  <w:tcW w:w="1988"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eastAsia" w:ascii="Calibri" w:hAnsi="Calibri" w:eastAsia="Times New Roman"/>
                      <w:szCs w:val="21"/>
                      <w:u w:val="single"/>
                    </w:rPr>
                    <w:t>水帘柜更换废水</w:t>
                  </w:r>
                </w:p>
              </w:tc>
              <w:tc>
                <w:tcPr>
                  <w:tcW w:w="1988"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jc w:val="center"/>
              </w:trPr>
              <w:tc>
                <w:tcPr>
                  <w:tcW w:w="784" w:type="pct"/>
                  <w:vMerge w:val="continue"/>
                  <w:tcBorders>
                    <w:left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581" w:type="pct"/>
                  <w:vMerge w:val="continue"/>
                  <w:tcBorders>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1011"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r>
                    <w:rPr>
                      <w:rFonts w:hint="default" w:ascii="Calibri" w:hAnsi="Calibri" w:eastAsia="Times New Roman"/>
                      <w:szCs w:val="21"/>
                    </w:rPr>
                    <w:t>废活性炭</w:t>
                  </w:r>
                </w:p>
              </w:tc>
              <w:tc>
                <w:tcPr>
                  <w:tcW w:w="1988" w:type="pct"/>
                  <w:vMerge w:val="continue"/>
                  <w:tcBorders>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c>
                <w:tcPr>
                  <w:tcW w:w="634" w:type="pct"/>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pStyle w:val="52"/>
                    <w:keepNext w:val="0"/>
                    <w:keepLines w:val="0"/>
                    <w:suppressLineNumbers w:val="0"/>
                    <w:spacing w:before="0" w:beforeAutospacing="0" w:after="0" w:afterAutospacing="0"/>
                    <w:ind w:left="0" w:right="0"/>
                    <w:rPr>
                      <w:rFonts w:hint="default" w:ascii="Calibri" w:hAnsi="Calibri" w:eastAsia="Times New Roman"/>
                      <w:szCs w:val="21"/>
                    </w:rPr>
                  </w:pPr>
                </w:p>
              </w:tc>
            </w:tr>
          </w:tbl>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表2</w:t>
            </w:r>
            <w:r>
              <w:rPr>
                <w:rFonts w:hint="eastAsia"/>
                <w:color w:val="auto"/>
                <w:sz w:val="21"/>
                <w:szCs w:val="21"/>
              </w:rPr>
              <w:t>-2</w:t>
            </w:r>
            <w:r>
              <w:rPr>
                <w:rFonts w:hint="default"/>
                <w:color w:val="auto"/>
                <w:sz w:val="21"/>
                <w:szCs w:val="21"/>
              </w:rPr>
              <w:t xml:space="preserve"> 生产设备清单</w:t>
            </w:r>
          </w:p>
          <w:tbl>
            <w:tblPr>
              <w:tblStyle w:val="25"/>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17"/>
              <w:gridCol w:w="3990"/>
              <w:gridCol w:w="1275"/>
              <w:gridCol w:w="186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0"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序号</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名称</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单位</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数量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数控切割机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带锯机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3</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坡口机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4</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直流焊机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5</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气体保护焊机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6</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自动焊</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7</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组立机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8</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矫正机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tblHeader/>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9</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下料机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10</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空压机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11</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钻床</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12</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铣床</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13</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龙门吊</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套</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14</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行吊</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套</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15</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u w:val="single"/>
                    </w:rPr>
                    <w:t>移动式烟尘净化器</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套</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16</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水压试验用设备，型号2D1-SY83/40</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17</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探伤仪器，型号XXHZ-3005周向机</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台</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0" w:hRule="atLeast"/>
                <w:jc w:val="center"/>
              </w:trPr>
              <w:tc>
                <w:tcPr>
                  <w:tcW w:w="514" w:type="pct"/>
                  <w:tcBorders>
                    <w:top w:val="single" w:color="auto" w:sz="2" w:space="0"/>
                    <w:left w:val="single" w:color="auto" w:sz="4"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18</w:t>
                  </w:r>
                </w:p>
              </w:tc>
              <w:tc>
                <w:tcPr>
                  <w:tcW w:w="2511"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喷漆枪</w:t>
                  </w:r>
                </w:p>
              </w:tc>
              <w:tc>
                <w:tcPr>
                  <w:tcW w:w="803"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个</w:t>
                  </w:r>
                </w:p>
              </w:tc>
              <w:tc>
                <w:tcPr>
                  <w:tcW w:w="1172" w:type="pct"/>
                  <w:tcBorders>
                    <w:top w:val="single" w:color="auto" w:sz="2" w:space="0"/>
                    <w:left w:val="single" w:color="auto" w:sz="2" w:space="0"/>
                    <w:bottom w:val="single" w:color="auto" w:sz="2" w:space="0"/>
                    <w:right w:val="single" w:color="auto" w:sz="2" w:space="0"/>
                  </w:tcBorders>
                  <w:vAlign w:val="center"/>
                </w:tcPr>
                <w:p>
                  <w:pPr>
                    <w:pStyle w:val="52"/>
                    <w:keepNext w:val="0"/>
                    <w:keepLines w:val="0"/>
                    <w:suppressLineNumbers w:val="0"/>
                    <w:snapToGrid/>
                    <w:spacing w:before="0" w:beforeAutospacing="0" w:after="0" w:afterAutospacing="0"/>
                    <w:ind w:left="0" w:right="0"/>
                    <w:rPr>
                      <w:rFonts w:hint="default"/>
                      <w:szCs w:val="21"/>
                    </w:rPr>
                  </w:pPr>
                  <w:r>
                    <w:rPr>
                      <w:rFonts w:hint="eastAsia"/>
                      <w:szCs w:val="21"/>
                    </w:rPr>
                    <w:t>2</w:t>
                  </w:r>
                </w:p>
              </w:tc>
            </w:tr>
          </w:tbl>
          <w:p>
            <w:pPr>
              <w:pStyle w:val="15"/>
              <w:keepNext w:val="0"/>
              <w:keepLines w:val="0"/>
              <w:widowControl/>
              <w:suppressLineNumbers w:val="0"/>
              <w:spacing w:before="0" w:beforeAutospacing="0" w:afterAutospacing="0"/>
              <w:ind w:left="0" w:right="0" w:firstLine="420"/>
              <w:rPr>
                <w:rFonts w:hint="default" w:ascii="宋体" w:hAnsi="宋体" w:cs="宋体"/>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表2</w:t>
            </w:r>
            <w:r>
              <w:rPr>
                <w:rFonts w:hint="default"/>
                <w:color w:val="auto"/>
                <w:sz w:val="21"/>
                <w:szCs w:val="21"/>
              </w:rPr>
              <w:t xml:space="preserve">-3  </w:t>
            </w:r>
            <w:r>
              <w:rPr>
                <w:rFonts w:hint="eastAsia"/>
                <w:color w:val="auto"/>
                <w:sz w:val="21"/>
                <w:szCs w:val="21"/>
              </w:rPr>
              <w:t>周向辐射携带式</w:t>
            </w:r>
            <w:r>
              <w:rPr>
                <w:rFonts w:hint="default"/>
                <w:color w:val="auto"/>
                <w:sz w:val="21"/>
                <w:szCs w:val="21"/>
              </w:rPr>
              <w:t>X</w:t>
            </w:r>
            <w:r>
              <w:rPr>
                <w:rFonts w:hint="eastAsia"/>
                <w:color w:val="auto"/>
                <w:sz w:val="21"/>
                <w:szCs w:val="21"/>
              </w:rPr>
              <w:t>射线机XXHZ-3005周向机参数</w:t>
            </w:r>
          </w:p>
          <w:tbl>
            <w:tblPr>
              <w:tblStyle w:val="25"/>
              <w:tblW w:w="7889" w:type="dxa"/>
              <w:tblInd w:w="0" w:type="dxa"/>
              <w:tblLayout w:type="fixed"/>
              <w:tblCellMar>
                <w:top w:w="0" w:type="dxa"/>
                <w:left w:w="0" w:type="dxa"/>
                <w:bottom w:w="0" w:type="dxa"/>
                <w:right w:w="0" w:type="dxa"/>
              </w:tblCellMar>
            </w:tblPr>
            <w:tblGrid>
              <w:gridCol w:w="821"/>
              <w:gridCol w:w="759"/>
              <w:gridCol w:w="759"/>
              <w:gridCol w:w="760"/>
              <w:gridCol w:w="760"/>
              <w:gridCol w:w="760"/>
              <w:gridCol w:w="760"/>
              <w:gridCol w:w="761"/>
              <w:gridCol w:w="762"/>
              <w:gridCol w:w="987"/>
            </w:tblGrid>
            <w:tr>
              <w:tblPrEx>
                <w:tblCellMar>
                  <w:top w:w="0" w:type="dxa"/>
                  <w:left w:w="0" w:type="dxa"/>
                  <w:bottom w:w="0" w:type="dxa"/>
                  <w:right w:w="0" w:type="dxa"/>
                </w:tblCellMar>
              </w:tblPrEx>
              <w:trPr>
                <w:trHeight w:val="450" w:hRule="atLeast"/>
              </w:trPr>
              <w:tc>
                <w:tcPr>
                  <w:tcW w:w="821" w:type="dxa"/>
                  <w:vMerge w:val="restart"/>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型号</w:t>
                  </w:r>
                </w:p>
              </w:tc>
              <w:tc>
                <w:tcPr>
                  <w:tcW w:w="759" w:type="dxa"/>
                  <w:vMerge w:val="restart"/>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输出电压（KV）</w:t>
                  </w:r>
                </w:p>
              </w:tc>
              <w:tc>
                <w:tcPr>
                  <w:tcW w:w="759" w:type="dxa"/>
                  <w:vMerge w:val="restart"/>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输入</w:t>
                  </w:r>
                  <w:r>
                    <w:rPr>
                      <w:rFonts w:hint="default"/>
                    </w:rPr>
                    <w:t>（kw）</w:t>
                  </w:r>
                </w:p>
              </w:tc>
              <w:tc>
                <w:tcPr>
                  <w:tcW w:w="760" w:type="dxa"/>
                  <w:vMerge w:val="restart"/>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焦点尺寸</w:t>
                  </w:r>
                  <w:r>
                    <w:rPr>
                      <w:rFonts w:hint="default"/>
                    </w:rPr>
                    <w:t>（mm）</w:t>
                  </w:r>
                </w:p>
              </w:tc>
              <w:tc>
                <w:tcPr>
                  <w:tcW w:w="760" w:type="dxa"/>
                  <w:vMerge w:val="restart"/>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辐射角度</w:t>
                  </w:r>
                </w:p>
              </w:tc>
              <w:tc>
                <w:tcPr>
                  <w:tcW w:w="760" w:type="dxa"/>
                  <w:tcBorders>
                    <w:top w:val="single" w:color="auto" w:sz="4" w:space="0"/>
                    <w:left w:val="nil"/>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最大穿透</w:t>
                  </w:r>
                  <w:r>
                    <w:rPr>
                      <w:rFonts w:hint="default"/>
                    </w:rPr>
                    <w:t>A3</w:t>
                  </w:r>
                  <w:r>
                    <w:rPr>
                      <w:rFonts w:hint="eastAsia"/>
                    </w:rPr>
                    <w:t>钢</w:t>
                  </w:r>
                </w:p>
              </w:tc>
              <w:tc>
                <w:tcPr>
                  <w:tcW w:w="1521" w:type="dxa"/>
                  <w:gridSpan w:val="2"/>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重量</w:t>
                  </w:r>
                  <w:r>
                    <w:rPr>
                      <w:rFonts w:hint="default"/>
                    </w:rPr>
                    <w:t>（kg）</w:t>
                  </w:r>
                </w:p>
              </w:tc>
              <w:tc>
                <w:tcPr>
                  <w:tcW w:w="1749" w:type="dxa"/>
                  <w:gridSpan w:val="2"/>
                  <w:tcBorders>
                    <w:top w:val="single" w:color="auto" w:sz="4" w:space="0"/>
                    <w:left w:val="nil"/>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尺寸</w:t>
                  </w:r>
                  <w:r>
                    <w:rPr>
                      <w:rFonts w:hint="default"/>
                    </w:rPr>
                    <w:t>（mm）</w:t>
                  </w:r>
                </w:p>
              </w:tc>
            </w:tr>
            <w:tr>
              <w:tblPrEx>
                <w:tblCellMar>
                  <w:top w:w="0" w:type="dxa"/>
                  <w:left w:w="0" w:type="dxa"/>
                  <w:bottom w:w="0" w:type="dxa"/>
                  <w:right w:w="0" w:type="dxa"/>
                </w:tblCellMar>
              </w:tblPrEx>
              <w:trPr>
                <w:trHeight w:val="278" w:hRule="atLeast"/>
              </w:trPr>
              <w:tc>
                <w:tcPr>
                  <w:tcW w:w="821"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59"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5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（mm）</w:t>
                  </w:r>
                </w:p>
              </w:tc>
              <w:tc>
                <w:tcPr>
                  <w:tcW w:w="760"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发生器</w:t>
                  </w:r>
                </w:p>
              </w:tc>
              <w:tc>
                <w:tcPr>
                  <w:tcW w:w="760"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控制器</w:t>
                  </w:r>
                </w:p>
              </w:tc>
              <w:tc>
                <w:tcPr>
                  <w:tcW w:w="762"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发生器</w:t>
                  </w:r>
                </w:p>
              </w:tc>
              <w:tc>
                <w:tcPr>
                  <w:tcW w:w="986"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控制器</w:t>
                  </w:r>
                </w:p>
              </w:tc>
            </w:tr>
            <w:tr>
              <w:trPr>
                <w:trHeight w:val="282" w:hRule="atLeast"/>
              </w:trPr>
              <w:tc>
                <w:tcPr>
                  <w:tcW w:w="821" w:type="dxa"/>
                  <w:vMerge w:val="restart"/>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XXHz-3005</w:t>
                  </w:r>
                </w:p>
              </w:tc>
              <w:tc>
                <w:tcPr>
                  <w:tcW w:w="759" w:type="dxa"/>
                  <w:vMerge w:val="restart"/>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170</w:t>
                  </w:r>
                  <w:r>
                    <w:rPr>
                      <w:rFonts w:hint="eastAsia"/>
                    </w:rPr>
                    <w:t>－</w:t>
                  </w:r>
                  <w:r>
                    <w:rPr>
                      <w:rFonts w:hint="default"/>
                    </w:rPr>
                    <w:t>300</w:t>
                  </w:r>
                </w:p>
              </w:tc>
              <w:tc>
                <w:tcPr>
                  <w:tcW w:w="759"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3</w:t>
                  </w:r>
                </w:p>
              </w:tc>
              <w:tc>
                <w:tcPr>
                  <w:tcW w:w="760"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1.0×3.5</w:t>
                  </w:r>
                </w:p>
              </w:tc>
              <w:tc>
                <w:tcPr>
                  <w:tcW w:w="760"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锥靶</w:t>
                  </w:r>
                </w:p>
              </w:tc>
              <w:tc>
                <w:tcPr>
                  <w:tcW w:w="760"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40</w:t>
                  </w:r>
                </w:p>
              </w:tc>
              <w:tc>
                <w:tcPr>
                  <w:tcW w:w="760"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44</w:t>
                  </w:r>
                </w:p>
              </w:tc>
              <w:tc>
                <w:tcPr>
                  <w:tcW w:w="760"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9.5</w:t>
                  </w:r>
                </w:p>
              </w:tc>
              <w:tc>
                <w:tcPr>
                  <w:tcW w:w="762"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Φ340×830</w:t>
                  </w:r>
                </w:p>
              </w:tc>
              <w:tc>
                <w:tcPr>
                  <w:tcW w:w="986"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350×290×150</w:t>
                  </w:r>
                </w:p>
              </w:tc>
            </w:tr>
            <w:tr>
              <w:tblPrEx>
                <w:tblCellMar>
                  <w:top w:w="0" w:type="dxa"/>
                  <w:left w:w="0" w:type="dxa"/>
                  <w:bottom w:w="0" w:type="dxa"/>
                  <w:right w:w="0" w:type="dxa"/>
                </w:tblCellMar>
              </w:tblPrEx>
              <w:trPr>
                <w:trHeight w:val="252" w:hRule="atLeast"/>
              </w:trPr>
              <w:tc>
                <w:tcPr>
                  <w:tcW w:w="821" w:type="dxa"/>
                  <w:vMerge w:val="continue"/>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59" w:type="dxa"/>
                  <w:vMerge w:val="continue"/>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5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30°+5°</w:t>
                  </w:r>
                </w:p>
              </w:tc>
              <w:tc>
                <w:tcPr>
                  <w:tcW w:w="760"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0"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762"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c>
                <w:tcPr>
                  <w:tcW w:w="986"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pPr>
                    <w:pStyle w:val="32"/>
                    <w:keepNext w:val="0"/>
                    <w:keepLines w:val="0"/>
                    <w:widowControl/>
                    <w:suppressLineNumbers w:val="0"/>
                    <w:bidi w:val="0"/>
                    <w:spacing w:before="0" w:beforeAutospacing="0" w:afterAutospacing="0"/>
                    <w:ind w:left="0" w:right="0"/>
                    <w:rPr>
                      <w:rFonts w:hint="default"/>
                    </w:rPr>
                  </w:pPr>
                </w:p>
              </w:tc>
            </w:tr>
          </w:tbl>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表2</w:t>
            </w:r>
            <w:r>
              <w:rPr>
                <w:rFonts w:hint="default"/>
                <w:color w:val="auto"/>
                <w:sz w:val="21"/>
                <w:szCs w:val="21"/>
              </w:rPr>
              <w:t>-4  X</w:t>
            </w:r>
            <w:r>
              <w:rPr>
                <w:rFonts w:hint="eastAsia"/>
                <w:color w:val="auto"/>
                <w:sz w:val="21"/>
                <w:szCs w:val="21"/>
              </w:rPr>
              <w:t>射线探伤机参数</w:t>
            </w:r>
          </w:p>
          <w:tbl>
            <w:tblPr>
              <w:tblStyle w:val="25"/>
              <w:tblW w:w="7893" w:type="dxa"/>
              <w:tblInd w:w="0" w:type="dxa"/>
              <w:tblLayout w:type="fixed"/>
              <w:tblCellMar>
                <w:top w:w="0" w:type="dxa"/>
                <w:left w:w="0" w:type="dxa"/>
                <w:bottom w:w="0" w:type="dxa"/>
                <w:right w:w="0" w:type="dxa"/>
              </w:tblCellMar>
            </w:tblPr>
            <w:tblGrid>
              <w:gridCol w:w="964"/>
              <w:gridCol w:w="932"/>
              <w:gridCol w:w="932"/>
              <w:gridCol w:w="1337"/>
              <w:gridCol w:w="932"/>
              <w:gridCol w:w="932"/>
              <w:gridCol w:w="932"/>
              <w:gridCol w:w="932"/>
            </w:tblGrid>
            <w:tr>
              <w:trPr>
                <w:trHeight w:val="267" w:hRule="atLeast"/>
              </w:trPr>
              <w:tc>
                <w:tcPr>
                  <w:tcW w:w="964"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名称</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类别</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数量</w:t>
                  </w:r>
                </w:p>
              </w:tc>
              <w:tc>
                <w:tcPr>
                  <w:tcW w:w="1337"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型号</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最大管电压（</w:t>
                  </w:r>
                  <w:r>
                    <w:rPr>
                      <w:rFonts w:hint="default"/>
                      <w:szCs w:val="21"/>
                    </w:rPr>
                    <w:t>KV</w:t>
                  </w:r>
                  <w:r>
                    <w:rPr>
                      <w:rFonts w:hint="eastAsia"/>
                      <w:szCs w:val="21"/>
                    </w:rPr>
                    <w:t>）</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最大管电流（</w:t>
                  </w:r>
                  <w:r>
                    <w:rPr>
                      <w:rFonts w:hint="default"/>
                      <w:szCs w:val="21"/>
                    </w:rPr>
                    <w:t>mA</w:t>
                  </w:r>
                  <w:r>
                    <w:rPr>
                      <w:rFonts w:hint="eastAsia"/>
                      <w:szCs w:val="21"/>
                    </w:rPr>
                    <w:t>）</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用途</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工作场所</w:t>
                  </w:r>
                </w:p>
              </w:tc>
            </w:tr>
            <w:tr>
              <w:tblPrEx>
                <w:tblCellMar>
                  <w:top w:w="0" w:type="dxa"/>
                  <w:left w:w="0" w:type="dxa"/>
                  <w:bottom w:w="0" w:type="dxa"/>
                  <w:right w:w="0" w:type="dxa"/>
                </w:tblCellMar>
              </w:tblPrEx>
              <w:trPr>
                <w:trHeight w:val="505" w:hRule="atLeast"/>
              </w:trPr>
              <w:tc>
                <w:tcPr>
                  <w:tcW w:w="964"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X</w:t>
                  </w:r>
                  <w:r>
                    <w:rPr>
                      <w:rFonts w:hint="eastAsia"/>
                      <w:szCs w:val="21"/>
                    </w:rPr>
                    <w:t>射线探伤机</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Ⅱ类</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w:t>
                  </w:r>
                </w:p>
              </w:tc>
              <w:tc>
                <w:tcPr>
                  <w:tcW w:w="1337"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XXHZ-3005周向机</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300</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工业探伤</w:t>
                  </w:r>
                </w:p>
              </w:tc>
              <w:tc>
                <w:tcPr>
                  <w:tcW w:w="932"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探伤房</w:t>
                  </w:r>
                </w:p>
              </w:tc>
            </w:tr>
          </w:tbl>
          <w:p>
            <w:pPr>
              <w:keepNext w:val="0"/>
              <w:keepLines w:val="0"/>
              <w:widowControl/>
              <w:suppressLineNumbers w:val="0"/>
              <w:spacing w:before="0" w:beforeAutospacing="0" w:after="200" w:afterAutospacing="0"/>
              <w:ind w:left="0" w:right="0" w:firstLine="420"/>
              <w:rPr>
                <w:rFonts w:hint="default"/>
                <w:sz w:val="21"/>
                <w:szCs w:val="21"/>
              </w:rPr>
            </w:pPr>
            <w:r>
              <w:rPr>
                <w:rFonts w:hint="eastAsia"/>
                <w:sz w:val="21"/>
                <w:szCs w:val="21"/>
              </w:rPr>
              <w:t>探伤仪器周向辐射携带式X射线机XXHZ-3005周向机，属于辐射类，根据《建设项目环境影响评价分类管理名录》（2021版）“五十、核与辐射 172 核技术利用建设项目”需另做环评。</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表2-5  主要原辅材料一览表</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7"/>
              <w:gridCol w:w="1234"/>
              <w:gridCol w:w="785"/>
              <w:gridCol w:w="1216"/>
              <w:gridCol w:w="1066"/>
              <w:gridCol w:w="30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序号</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名称</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年用量</w:t>
                  </w:r>
                  <w:r>
                    <w:rPr>
                      <w:rFonts w:hint="eastAsia"/>
                      <w:szCs w:val="21"/>
                    </w:rPr>
                    <w:t>（吨/年）</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储存方式和位置</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最大储存量（吨）</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1</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钢材</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32500</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default"/>
                      <w:szCs w:val="21"/>
                    </w:rPr>
                    <w:t>/</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日常储存量4000吨，平均消耗量130吨/天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2</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电焊丝（条）</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250</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纸箱装，仓库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日常库存5吨，最高日耗1吨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钢砂</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80</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袋装，仓库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default"/>
                      <w:szCs w:val="21"/>
                    </w:rPr>
                    <w:t>2</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4</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聚氨酯漆</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6</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桶装，仓库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default"/>
                      <w:szCs w:val="21"/>
                    </w:rPr>
                    <w:t>0.3</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重钢用油性漆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聚酯漆稀释剂</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桶装，仓库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default"/>
                      <w:szCs w:val="21"/>
                    </w:rPr>
                    <w:t>0.15</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聚氨酯漆：稀释剂=2：1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6</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水性漆</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桶装，仓库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0.15</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轻钢用水性漆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7</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活性炭</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14.3</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袋装，仓库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4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8</w:t>
                  </w:r>
                </w:p>
              </w:tc>
              <w:tc>
                <w:tcPr>
                  <w:tcW w:w="77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乙炔或丙烷</w:t>
                  </w:r>
                </w:p>
              </w:tc>
              <w:tc>
                <w:tcPr>
                  <w:tcW w:w="49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w:t>
                  </w:r>
                  <w:r>
                    <w:rPr>
                      <w:rFonts w:hint="default"/>
                      <w:szCs w:val="21"/>
                    </w:rPr>
                    <w:t>00</w:t>
                  </w:r>
                  <w:r>
                    <w:rPr>
                      <w:rFonts w:hint="eastAsia"/>
                      <w:szCs w:val="21"/>
                    </w:rPr>
                    <w:t>m³</w:t>
                  </w:r>
                </w:p>
              </w:tc>
              <w:tc>
                <w:tcPr>
                  <w:tcW w:w="766" w:type="pct"/>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罐装，仓库</w:t>
                  </w:r>
                </w:p>
              </w:tc>
              <w:tc>
                <w:tcPr>
                  <w:tcW w:w="671" w:type="pct"/>
                </w:tcPr>
                <w:p>
                  <w:pPr>
                    <w:pStyle w:val="32"/>
                    <w:keepNext w:val="0"/>
                    <w:keepLines w:val="0"/>
                    <w:widowControl/>
                    <w:suppressLineNumbers w:val="0"/>
                    <w:spacing w:before="0" w:beforeAutospacing="0" w:afterAutospacing="0"/>
                    <w:ind w:left="0" w:right="0"/>
                    <w:rPr>
                      <w:rFonts w:hint="default"/>
                      <w:szCs w:val="21"/>
                    </w:rPr>
                  </w:pPr>
                  <w:r>
                    <w:rPr>
                      <w:rFonts w:hint="default"/>
                      <w:szCs w:val="21"/>
                    </w:rPr>
                    <w:t>6</w:t>
                  </w:r>
                  <w:r>
                    <w:rPr>
                      <w:rFonts w:hint="eastAsia"/>
                      <w:szCs w:val="21"/>
                    </w:rPr>
                    <w:t xml:space="preserve"> m³</w:t>
                  </w:r>
                </w:p>
              </w:tc>
              <w:tc>
                <w:tcPr>
                  <w:tcW w:w="1945"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r>
          </w:tbl>
          <w:p>
            <w:pPr>
              <w:pStyle w:val="49"/>
              <w:keepNext w:val="0"/>
              <w:keepLines w:val="0"/>
              <w:widowControl/>
              <w:suppressLineNumbers w:val="0"/>
              <w:spacing w:before="0" w:beforeAutospacing="0" w:after="0" w:afterAutospacing="0"/>
              <w:ind w:left="0" w:right="0"/>
              <w:jc w:val="left"/>
              <w:rPr>
                <w:rFonts w:hint="default"/>
                <w:b w:val="0"/>
                <w:bCs w:val="0"/>
                <w:color w:val="auto"/>
                <w:sz w:val="21"/>
                <w:szCs w:val="21"/>
              </w:rPr>
            </w:pPr>
            <w:r>
              <w:rPr>
                <w:rFonts w:hint="eastAsia"/>
                <w:b w:val="0"/>
                <w:bCs w:val="0"/>
                <w:color w:val="auto"/>
                <w:sz w:val="21"/>
                <w:szCs w:val="21"/>
              </w:rPr>
              <w:t>注：所用电焊丝（条）必须符合国家相关质量要求及相关行业要求。</w:t>
            </w:r>
          </w:p>
          <w:p>
            <w:pPr>
              <w:pStyle w:val="49"/>
              <w:keepNext w:val="0"/>
              <w:keepLines w:val="0"/>
              <w:widowControl/>
              <w:suppressLineNumbers w:val="0"/>
              <w:spacing w:before="0" w:beforeAutospacing="0" w:after="0" w:afterAutospacing="0"/>
              <w:ind w:left="0" w:right="0"/>
              <w:jc w:val="left"/>
              <w:rPr>
                <w:rFonts w:hint="default"/>
                <w:b w:val="0"/>
                <w:bCs w:val="0"/>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表2</w:t>
            </w:r>
            <w:r>
              <w:rPr>
                <w:rFonts w:hint="default"/>
                <w:color w:val="auto"/>
                <w:sz w:val="21"/>
                <w:szCs w:val="21"/>
              </w:rPr>
              <w:t xml:space="preserve">-6  </w:t>
            </w:r>
            <w:r>
              <w:rPr>
                <w:rFonts w:hint="eastAsia"/>
                <w:color w:val="auto"/>
                <w:sz w:val="21"/>
                <w:szCs w:val="21"/>
              </w:rPr>
              <w:t>聚氨酯漆的理化性质及危险特性</w:t>
            </w:r>
          </w:p>
          <w:p>
            <w:pPr>
              <w:pStyle w:val="32"/>
              <w:keepNext w:val="0"/>
              <w:keepLines w:val="0"/>
              <w:widowControl/>
              <w:suppressLineNumbers w:val="0"/>
              <w:spacing w:before="0" w:beforeAutospacing="0" w:afterAutospacing="0"/>
              <w:ind w:left="0" w:right="0"/>
              <w:rPr>
                <w:rFonts w:hint="default"/>
                <w:szCs w:val="21"/>
              </w:rPr>
            </w:pPr>
            <w:r>
              <w:rPr>
                <w:rFonts w:hint="default"/>
                <w:szCs w:val="21"/>
              </w:rPr>
              <w:drawing>
                <wp:inline distT="0" distB="0" distL="114300" distR="114300">
                  <wp:extent cx="5055235" cy="3334385"/>
                  <wp:effectExtent l="0" t="0" r="12065"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5"/>
                          <a:srcRect b="5440"/>
                          <a:stretch>
                            <a:fillRect/>
                          </a:stretch>
                        </pic:blipFill>
                        <pic:spPr>
                          <a:xfrm>
                            <a:off x="0" y="0"/>
                            <a:ext cx="5055235" cy="3334385"/>
                          </a:xfrm>
                          <a:prstGeom prst="rect">
                            <a:avLst/>
                          </a:prstGeom>
                          <a:noFill/>
                          <a:ln>
                            <a:noFill/>
                          </a:ln>
                        </pic:spPr>
                      </pic:pic>
                    </a:graphicData>
                  </a:graphic>
                </wp:inline>
              </w:drawing>
            </w:r>
          </w:p>
          <w:p>
            <w:pPr>
              <w:pStyle w:val="7"/>
              <w:keepNext w:val="0"/>
              <w:keepLines w:val="0"/>
              <w:widowControl/>
              <w:suppressLineNumbers w:val="0"/>
              <w:spacing w:before="0" w:beforeAutospacing="0" w:after="200" w:afterAutospacing="0" w:line="276" w:lineRule="auto"/>
              <w:ind w:left="0" w:right="0" w:firstLine="0" w:firstLineChars="0"/>
              <w:rPr>
                <w:rFonts w:hint="default"/>
                <w:szCs w:val="21"/>
              </w:rPr>
            </w:pPr>
            <w:r>
              <w:rPr>
                <w:rFonts w:hint="default"/>
                <w:szCs w:val="21"/>
              </w:rPr>
              <w:drawing>
                <wp:inline distT="0" distB="0" distL="114300" distR="114300">
                  <wp:extent cx="5073015" cy="3654425"/>
                  <wp:effectExtent l="0" t="0" r="13335" b="317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6"/>
                          <a:stretch>
                            <a:fillRect/>
                          </a:stretch>
                        </pic:blipFill>
                        <pic:spPr>
                          <a:xfrm>
                            <a:off x="0" y="0"/>
                            <a:ext cx="5073015" cy="3654425"/>
                          </a:xfrm>
                          <a:prstGeom prst="rect">
                            <a:avLst/>
                          </a:prstGeom>
                          <a:noFill/>
                          <a:ln>
                            <a:noFill/>
                          </a:ln>
                        </pic:spPr>
                      </pic:pic>
                    </a:graphicData>
                  </a:graphic>
                </wp:inline>
              </w:drawing>
            </w:r>
          </w:p>
          <w:p>
            <w:pPr>
              <w:pStyle w:val="7"/>
              <w:keepNext w:val="0"/>
              <w:keepLines w:val="0"/>
              <w:widowControl/>
              <w:suppressLineNumbers w:val="0"/>
              <w:spacing w:before="0" w:beforeAutospacing="0" w:after="200" w:afterAutospacing="0" w:line="276" w:lineRule="auto"/>
              <w:ind w:left="0" w:right="0" w:firstLine="0" w:firstLineChars="0"/>
              <w:rPr>
                <w:rFonts w:hint="default"/>
                <w:szCs w:val="21"/>
              </w:rPr>
            </w:pPr>
            <w:r>
              <w:rPr>
                <w:rFonts w:hint="default"/>
                <w:szCs w:val="21"/>
              </w:rPr>
              <w:drawing>
                <wp:inline distT="0" distB="0" distL="114300" distR="114300">
                  <wp:extent cx="5071745" cy="3224530"/>
                  <wp:effectExtent l="0" t="0" r="14605" b="1397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7"/>
                          <a:stretch>
                            <a:fillRect/>
                          </a:stretch>
                        </pic:blipFill>
                        <pic:spPr>
                          <a:xfrm>
                            <a:off x="0" y="0"/>
                            <a:ext cx="5071745" cy="3224530"/>
                          </a:xfrm>
                          <a:prstGeom prst="rect">
                            <a:avLst/>
                          </a:prstGeom>
                          <a:noFill/>
                          <a:ln>
                            <a:noFill/>
                          </a:ln>
                        </pic:spPr>
                      </pic:pic>
                    </a:graphicData>
                  </a:graphic>
                </wp:inline>
              </w:drawing>
            </w:r>
          </w:p>
          <w:p>
            <w:pPr>
              <w:pStyle w:val="7"/>
              <w:keepNext w:val="0"/>
              <w:keepLines w:val="0"/>
              <w:widowControl/>
              <w:suppressLineNumbers w:val="0"/>
              <w:spacing w:before="0" w:beforeAutospacing="0" w:after="200" w:afterAutospacing="0" w:line="276" w:lineRule="auto"/>
              <w:ind w:left="0" w:right="0" w:firstLine="0" w:firstLineChars="0"/>
              <w:jc w:val="center"/>
              <w:rPr>
                <w:rFonts w:hint="default"/>
                <w:szCs w:val="21"/>
              </w:rPr>
            </w:pPr>
            <w:r>
              <w:rPr>
                <w:rFonts w:hint="default"/>
                <w:szCs w:val="21"/>
              </w:rPr>
              <w:drawing>
                <wp:inline distT="0" distB="0" distL="114300" distR="114300">
                  <wp:extent cx="5043170" cy="1698625"/>
                  <wp:effectExtent l="0" t="0" r="5080" b="1587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8"/>
                          <a:stretch>
                            <a:fillRect/>
                          </a:stretch>
                        </pic:blipFill>
                        <pic:spPr>
                          <a:xfrm>
                            <a:off x="0" y="0"/>
                            <a:ext cx="5043170" cy="1698625"/>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240" w:lineRule="auto"/>
              <w:ind w:left="0" w:right="0" w:firstLine="0" w:firstLineChars="0"/>
              <w:jc w:val="center"/>
              <w:rPr>
                <w:rFonts w:hint="default" w:cs="Times New Roman"/>
                <w:b/>
                <w:bCs/>
                <w:sz w:val="21"/>
                <w:szCs w:val="21"/>
              </w:rPr>
            </w:pPr>
          </w:p>
          <w:p>
            <w:pPr>
              <w:keepNext w:val="0"/>
              <w:keepLines w:val="0"/>
              <w:widowControl/>
              <w:suppressLineNumbers w:val="0"/>
              <w:spacing w:before="0" w:beforeAutospacing="0" w:after="0" w:afterAutospacing="0" w:line="240" w:lineRule="auto"/>
              <w:ind w:left="0" w:right="0" w:firstLine="0" w:firstLineChars="0"/>
              <w:jc w:val="center"/>
              <w:rPr>
                <w:rFonts w:hint="default" w:cs="Times New Roman"/>
                <w:b/>
                <w:bCs/>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eastAsia"/>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表2</w:t>
            </w:r>
            <w:r>
              <w:rPr>
                <w:rFonts w:hint="default"/>
                <w:color w:val="auto"/>
                <w:sz w:val="21"/>
                <w:szCs w:val="21"/>
              </w:rPr>
              <w:t xml:space="preserve">-7  </w:t>
            </w:r>
            <w:r>
              <w:rPr>
                <w:rFonts w:hint="eastAsia"/>
                <w:color w:val="auto"/>
                <w:sz w:val="21"/>
                <w:szCs w:val="21"/>
              </w:rPr>
              <w:t>聚酯漆稀释剂的理化性质及危险特性</w:t>
            </w:r>
          </w:p>
          <w:p>
            <w:pPr>
              <w:pStyle w:val="18"/>
              <w:keepNext w:val="0"/>
              <w:keepLines w:val="0"/>
              <w:suppressLineNumbers w:val="0"/>
              <w:adjustRightInd/>
              <w:snapToGrid/>
              <w:spacing w:before="0" w:beforeAutospacing="0" w:after="0" w:afterAutospacing="0" w:line="0" w:lineRule="atLeast"/>
              <w:ind w:left="0" w:right="0" w:firstLine="0" w:firstLineChars="0"/>
              <w:rPr>
                <w:rFonts w:hint="default"/>
              </w:rPr>
            </w:pPr>
            <w:r>
              <w:rPr>
                <w:rFonts w:hint="default"/>
              </w:rPr>
              <w:drawing>
                <wp:inline distT="0" distB="0" distL="114300" distR="114300">
                  <wp:extent cx="5062220" cy="3665855"/>
                  <wp:effectExtent l="0" t="0" r="5080" b="107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9"/>
                          <a:srcRect b="13209"/>
                          <a:stretch>
                            <a:fillRect/>
                          </a:stretch>
                        </pic:blipFill>
                        <pic:spPr>
                          <a:xfrm>
                            <a:off x="0" y="0"/>
                            <a:ext cx="5062220" cy="3665855"/>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240" w:lineRule="auto"/>
              <w:ind w:left="0" w:right="0" w:firstLine="0" w:firstLineChars="0"/>
              <w:jc w:val="center"/>
              <w:rPr>
                <w:rFonts w:hint="default" w:cs="Times New Roman"/>
                <w:b/>
                <w:bCs/>
                <w:sz w:val="21"/>
                <w:szCs w:val="21"/>
              </w:rPr>
            </w:pPr>
            <w:r>
              <w:rPr>
                <w:rFonts w:hint="default"/>
                <w:sz w:val="21"/>
                <w:szCs w:val="21"/>
              </w:rPr>
              <w:drawing>
                <wp:inline distT="0" distB="0" distL="114300" distR="114300">
                  <wp:extent cx="5062855" cy="3161665"/>
                  <wp:effectExtent l="0" t="0" r="4445" b="63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20"/>
                          <a:stretch>
                            <a:fillRect/>
                          </a:stretch>
                        </pic:blipFill>
                        <pic:spPr>
                          <a:xfrm>
                            <a:off x="0" y="0"/>
                            <a:ext cx="5062855" cy="3161665"/>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240" w:lineRule="auto"/>
              <w:ind w:left="0" w:right="0" w:firstLine="0" w:firstLineChars="0"/>
              <w:jc w:val="center"/>
              <w:rPr>
                <w:rFonts w:hint="default" w:cs="Times New Roman"/>
                <w:b/>
                <w:bCs/>
                <w:sz w:val="21"/>
                <w:szCs w:val="21"/>
                <w:u w:val="single"/>
              </w:rPr>
            </w:pPr>
          </w:p>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 xml:space="preserve">表2-8  </w:t>
            </w:r>
            <w:r>
              <w:rPr>
                <w:rFonts w:hint="eastAsia"/>
                <w:color w:val="auto"/>
                <w:sz w:val="21"/>
                <w:szCs w:val="21"/>
              </w:rPr>
              <w:t>聚氨酯漆成分表</w:t>
            </w:r>
          </w:p>
          <w:p>
            <w:pPr>
              <w:keepNext w:val="0"/>
              <w:keepLines w:val="0"/>
              <w:widowControl/>
              <w:suppressLineNumbers w:val="0"/>
              <w:spacing w:before="0" w:beforeAutospacing="0" w:after="0" w:afterAutospacing="0" w:line="240" w:lineRule="auto"/>
              <w:ind w:left="0" w:right="0" w:firstLine="0" w:firstLineChars="0"/>
              <w:jc w:val="center"/>
              <w:rPr>
                <w:rFonts w:hint="default" w:cs="Times New Roman"/>
                <w:b/>
                <w:bCs/>
                <w:sz w:val="21"/>
                <w:szCs w:val="21"/>
              </w:rPr>
            </w:pPr>
            <w:r>
              <w:rPr>
                <w:rFonts w:hint="default"/>
                <w:sz w:val="21"/>
                <w:szCs w:val="21"/>
              </w:rPr>
              <w:drawing>
                <wp:inline distT="0" distB="0" distL="0" distR="0">
                  <wp:extent cx="3620135" cy="1181100"/>
                  <wp:effectExtent l="0" t="0" r="184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3620135" cy="1181100"/>
                          </a:xfrm>
                          <a:prstGeom prst="rect">
                            <a:avLst/>
                          </a:prstGeom>
                        </pic:spPr>
                      </pic:pic>
                    </a:graphicData>
                  </a:graphic>
                </wp:inline>
              </w:drawing>
            </w:r>
          </w:p>
          <w:p>
            <w:pPr>
              <w:pStyle w:val="15"/>
              <w:keepNext w:val="0"/>
              <w:keepLines w:val="0"/>
              <w:widowControl/>
              <w:suppressLineNumbers w:val="0"/>
              <w:spacing w:before="0" w:beforeAutospacing="0" w:afterAutospacing="0"/>
              <w:ind w:left="0" w:right="0" w:firstLine="420"/>
              <w:rPr>
                <w:rFonts w:hint="default"/>
                <w:sz w:val="21"/>
                <w:szCs w:val="21"/>
                <w:u w:val="single"/>
              </w:rPr>
            </w:pPr>
          </w:p>
          <w:p>
            <w:pPr>
              <w:pStyle w:val="15"/>
              <w:keepNext w:val="0"/>
              <w:keepLines w:val="0"/>
              <w:widowControl/>
              <w:suppressLineNumbers w:val="0"/>
              <w:spacing w:before="0" w:beforeAutospacing="0" w:afterAutospacing="0"/>
              <w:ind w:left="0" w:right="0" w:firstLine="420"/>
              <w:rPr>
                <w:rFonts w:hint="default"/>
                <w:sz w:val="21"/>
                <w:szCs w:val="21"/>
                <w:u w:val="single"/>
              </w:rPr>
            </w:pPr>
            <w:r>
              <w:rPr>
                <w:rFonts w:hint="eastAsia"/>
                <w:sz w:val="21"/>
                <w:szCs w:val="21"/>
                <w:u w:val="single"/>
              </w:rPr>
              <w:t>聚氨酯稀释剂成分：二甲苯70%，醋酸丁酯20%，乙二醇乙醚醋酸酯10%</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w:t>
            </w:r>
            <w:r>
              <w:rPr>
                <w:rFonts w:hint="default"/>
                <w:color w:val="auto"/>
                <w:sz w:val="21"/>
                <w:szCs w:val="21"/>
              </w:rPr>
              <w:t>2-9主要</w:t>
            </w:r>
            <w:r>
              <w:rPr>
                <w:rFonts w:hint="eastAsia"/>
                <w:color w:val="auto"/>
                <w:sz w:val="21"/>
                <w:szCs w:val="21"/>
              </w:rPr>
              <w:t>能耗</w:t>
            </w:r>
            <w:r>
              <w:rPr>
                <w:rFonts w:hint="default"/>
                <w:color w:val="auto"/>
                <w:sz w:val="21"/>
                <w:szCs w:val="21"/>
              </w:rPr>
              <w:t>一览表</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2"/>
              <w:gridCol w:w="1987"/>
              <w:gridCol w:w="2473"/>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64"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default" w:hAnsi="宋体" w:cs="Times New Roman"/>
                      <w:sz w:val="21"/>
                      <w:szCs w:val="21"/>
                    </w:rPr>
                    <w:t>序号</w:t>
                  </w:r>
                </w:p>
              </w:tc>
              <w:tc>
                <w:tcPr>
                  <w:tcW w:w="1252"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hAnsi="宋体" w:cs="Times New Roman"/>
                      <w:sz w:val="21"/>
                      <w:szCs w:val="21"/>
                    </w:rPr>
                    <w:t>能源</w:t>
                  </w:r>
                </w:p>
              </w:tc>
              <w:tc>
                <w:tcPr>
                  <w:tcW w:w="1559"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hAnsi="宋体" w:cs="Times New Roman"/>
                      <w:sz w:val="21"/>
                      <w:szCs w:val="21"/>
                    </w:rPr>
                    <w:t>年用量</w:t>
                  </w:r>
                </w:p>
              </w:tc>
              <w:tc>
                <w:tcPr>
                  <w:tcW w:w="1324"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default" w:hAnsi="宋体" w:cs="Times New Roman"/>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64"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default" w:cs="Times New Roman"/>
                      <w:sz w:val="21"/>
                      <w:szCs w:val="21"/>
                    </w:rPr>
                    <w:t>1</w:t>
                  </w:r>
                </w:p>
              </w:tc>
              <w:tc>
                <w:tcPr>
                  <w:tcW w:w="1252"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cs="Times New Roman"/>
                      <w:sz w:val="21"/>
                      <w:szCs w:val="21"/>
                    </w:rPr>
                    <w:t>电</w:t>
                  </w:r>
                </w:p>
              </w:tc>
              <w:tc>
                <w:tcPr>
                  <w:tcW w:w="1559"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cs="Times New Roman"/>
                      <w:sz w:val="21"/>
                      <w:szCs w:val="21"/>
                    </w:rPr>
                    <w:t>25</w:t>
                  </w:r>
                  <w:r>
                    <w:rPr>
                      <w:rFonts w:hint="default" w:hAnsi="宋体" w:cs="Times New Roman"/>
                      <w:sz w:val="21"/>
                      <w:szCs w:val="21"/>
                    </w:rPr>
                    <w:t>万</w:t>
                  </w:r>
                  <w:r>
                    <w:rPr>
                      <w:rFonts w:hint="default" w:cs="Times New Roman"/>
                      <w:sz w:val="21"/>
                      <w:szCs w:val="21"/>
                    </w:rPr>
                    <w:t>Kw·h</w:t>
                  </w:r>
                </w:p>
              </w:tc>
              <w:tc>
                <w:tcPr>
                  <w:tcW w:w="1324"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64"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cs="Times New Roman"/>
                      <w:sz w:val="21"/>
                      <w:szCs w:val="21"/>
                    </w:rPr>
                    <w:t>2</w:t>
                  </w:r>
                </w:p>
              </w:tc>
              <w:tc>
                <w:tcPr>
                  <w:tcW w:w="1252"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hAnsi="宋体" w:cs="Times New Roman"/>
                      <w:sz w:val="21"/>
                      <w:szCs w:val="21"/>
                    </w:rPr>
                    <w:t>自来水</w:t>
                  </w:r>
                </w:p>
              </w:tc>
              <w:tc>
                <w:tcPr>
                  <w:tcW w:w="1559"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r>
                    <w:rPr>
                      <w:rFonts w:hint="eastAsia" w:cs="Times New Roman"/>
                      <w:sz w:val="21"/>
                      <w:szCs w:val="21"/>
                    </w:rPr>
                    <w:t>2670m³</w:t>
                  </w:r>
                </w:p>
              </w:tc>
              <w:tc>
                <w:tcPr>
                  <w:tcW w:w="1324" w:type="pct"/>
                  <w:vAlign w:val="center"/>
                </w:tcPr>
                <w:p>
                  <w:pPr>
                    <w:keepNext w:val="0"/>
                    <w:keepLines w:val="0"/>
                    <w:widowControl/>
                    <w:suppressLineNumbers w:val="0"/>
                    <w:spacing w:before="0" w:beforeAutospacing="0" w:after="0" w:afterAutospacing="0" w:line="0" w:lineRule="atLeast"/>
                    <w:ind w:left="0" w:right="0" w:firstLine="0" w:firstLineChars="0"/>
                    <w:jc w:val="center"/>
                    <w:rPr>
                      <w:rFonts w:hint="default" w:cs="Times New Roman"/>
                      <w:sz w:val="21"/>
                      <w:szCs w:val="21"/>
                    </w:rPr>
                  </w:pPr>
                </w:p>
              </w:tc>
            </w:tr>
          </w:tbl>
          <w:p>
            <w:pPr>
              <w:keepNext w:val="0"/>
              <w:keepLines w:val="0"/>
              <w:widowControl/>
              <w:suppressLineNumbers w:val="0"/>
              <w:spacing w:before="0" w:beforeAutospacing="0" w:after="0" w:afterAutospacing="0"/>
              <w:ind w:left="0" w:right="0" w:firstLine="420"/>
              <w:jc w:val="both"/>
              <w:rPr>
                <w:rFonts w:hint="default" w:cs="Times New Roman"/>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w:t>
            </w:r>
            <w:r>
              <w:rPr>
                <w:rFonts w:hint="default"/>
                <w:color w:val="auto"/>
                <w:sz w:val="21"/>
                <w:szCs w:val="21"/>
              </w:rPr>
              <w:t>2-10</w:t>
            </w:r>
            <w:r>
              <w:rPr>
                <w:rFonts w:hint="eastAsia"/>
                <w:color w:val="auto"/>
                <w:sz w:val="21"/>
                <w:szCs w:val="21"/>
              </w:rPr>
              <w:t xml:space="preserve">  产品方案</w:t>
            </w:r>
          </w:p>
          <w:tbl>
            <w:tblPr>
              <w:tblStyle w:val="26"/>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5"/>
              <w:gridCol w:w="39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499" w:type="pct"/>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名称</w:t>
                  </w:r>
                </w:p>
              </w:tc>
              <w:tc>
                <w:tcPr>
                  <w:tcW w:w="2500" w:type="pct"/>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产量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499" w:type="pct"/>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桥梁钢结构</w:t>
                  </w:r>
                </w:p>
              </w:tc>
              <w:tc>
                <w:tcPr>
                  <w:tcW w:w="2500" w:type="pct"/>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3.25万吨</w:t>
                  </w:r>
                </w:p>
              </w:tc>
            </w:tr>
          </w:tbl>
          <w:p>
            <w:pPr>
              <w:pStyle w:val="15"/>
              <w:keepNext w:val="0"/>
              <w:keepLines w:val="0"/>
              <w:widowControl/>
              <w:suppressLineNumbers w:val="0"/>
              <w:spacing w:before="0" w:beforeAutospacing="0" w:afterAutospacing="0"/>
              <w:ind w:left="0" w:right="0" w:firstLine="420"/>
              <w:rPr>
                <w:rFonts w:hint="eastAsia" w:eastAsia="宋体" w:cs="Times New Roman"/>
                <w:sz w:val="21"/>
                <w:szCs w:val="21"/>
                <w:lang w:eastAsia="zh-CN"/>
              </w:rPr>
            </w:pPr>
            <w:r>
              <w:rPr>
                <w:rFonts w:hint="eastAsia" w:ascii="宋体" w:hAnsi="宋体" w:cs="宋体"/>
                <w:sz w:val="21"/>
                <w:szCs w:val="21"/>
                <w:lang w:bidi="ar"/>
              </w:rPr>
              <w:t>产品质量指标、执行的行业标准：拱形钢结构技术规程（JGJ/T 249-2011）、公路桥梁钢结构制造与安装工程质量检验评定标准(DB34/T 2227-2014)、钢结构钢材选用与检验技术规程（CECS 300-2011）</w:t>
            </w:r>
            <w:r>
              <w:rPr>
                <w:rFonts w:hint="eastAsia" w:ascii="宋体" w:hAnsi="宋体" w:cs="宋体"/>
                <w:sz w:val="21"/>
                <w:szCs w:val="21"/>
                <w:lang w:eastAsia="zh-CN" w:bidi="ar"/>
              </w:rPr>
              <w:t>。</w:t>
            </w:r>
          </w:p>
          <w:p>
            <w:pPr>
              <w:keepNext/>
              <w:keepLines/>
              <w:widowControl w:val="0"/>
              <w:suppressLineNumbers w:val="0"/>
              <w:spacing w:before="0" w:beforeAutospacing="0" w:after="0" w:afterAutospacing="0"/>
              <w:ind w:left="0" w:right="0" w:firstLine="422"/>
              <w:jc w:val="both"/>
              <w:outlineLvl w:val="0"/>
              <w:rPr>
                <w:rFonts w:hint="default" w:cs="Times New Roman"/>
                <w:b/>
                <w:kern w:val="44"/>
                <w:sz w:val="21"/>
                <w:szCs w:val="21"/>
              </w:rPr>
            </w:pPr>
            <w:bookmarkStart w:id="5" w:name="_Toc532482179"/>
            <w:bookmarkStart w:id="6" w:name="_Toc9567"/>
            <w:bookmarkStart w:id="7" w:name="_Toc14211"/>
            <w:r>
              <w:rPr>
                <w:rFonts w:hint="default" w:cs="Times New Roman"/>
                <w:b/>
                <w:kern w:val="44"/>
                <w:sz w:val="21"/>
                <w:szCs w:val="21"/>
              </w:rPr>
              <w:t>劳动定员及工作制度</w:t>
            </w:r>
            <w:bookmarkEnd w:id="5"/>
            <w:bookmarkEnd w:id="6"/>
            <w:bookmarkEnd w:id="7"/>
          </w:p>
          <w:p>
            <w:pPr>
              <w:pStyle w:val="15"/>
              <w:keepNext w:val="0"/>
              <w:keepLines w:val="0"/>
              <w:widowControl/>
              <w:suppressLineNumbers w:val="0"/>
              <w:spacing w:before="0" w:beforeAutospacing="0" w:afterAutospacing="0"/>
              <w:ind w:left="0" w:right="0" w:firstLine="420"/>
              <w:rPr>
                <w:rFonts w:hint="default" w:ascii="宋体" w:hAnsi="宋体" w:cs="宋体"/>
                <w:sz w:val="21"/>
                <w:szCs w:val="21"/>
                <w:lang w:bidi="ar"/>
              </w:rPr>
            </w:pPr>
            <w:r>
              <w:rPr>
                <w:rFonts w:hint="eastAsia" w:ascii="宋体" w:hAnsi="宋体" w:cs="宋体"/>
                <w:sz w:val="21"/>
                <w:szCs w:val="21"/>
                <w:lang w:bidi="ar"/>
              </w:rPr>
              <w:t>人员作业天数250天，</w:t>
            </w:r>
            <w:r>
              <w:rPr>
                <w:rFonts w:hint="default" w:ascii="宋体" w:hAnsi="宋体" w:cs="宋体"/>
                <w:sz w:val="21"/>
                <w:szCs w:val="21"/>
                <w:lang w:bidi="ar"/>
              </w:rPr>
              <w:t>八小时工作制，</w:t>
            </w:r>
            <w:r>
              <w:rPr>
                <w:rFonts w:hint="eastAsia" w:ascii="宋体" w:hAnsi="宋体" w:cs="宋体"/>
                <w:sz w:val="21"/>
                <w:szCs w:val="21"/>
                <w:lang w:bidi="ar"/>
              </w:rPr>
              <w:t>年作业时间</w:t>
            </w:r>
            <w:r>
              <w:rPr>
                <w:rFonts w:hint="default" w:ascii="宋体" w:hAnsi="宋体" w:cs="宋体"/>
                <w:sz w:val="21"/>
                <w:szCs w:val="21"/>
                <w:lang w:bidi="ar"/>
              </w:rPr>
              <w:t>共</w:t>
            </w:r>
            <w:r>
              <w:rPr>
                <w:rFonts w:hint="eastAsia" w:ascii="宋体" w:hAnsi="宋体" w:cs="宋体"/>
                <w:sz w:val="21"/>
                <w:szCs w:val="21"/>
                <w:lang w:bidi="ar"/>
              </w:rPr>
              <w:t>2000</w:t>
            </w:r>
            <w:r>
              <w:rPr>
                <w:rFonts w:hint="default" w:ascii="宋体" w:hAnsi="宋体" w:cs="宋体"/>
                <w:sz w:val="21"/>
                <w:szCs w:val="21"/>
                <w:lang w:bidi="ar"/>
              </w:rPr>
              <w:t>h</w:t>
            </w:r>
            <w:r>
              <w:rPr>
                <w:rFonts w:hint="eastAsia" w:ascii="宋体" w:hAnsi="宋体" w:cs="宋体"/>
                <w:sz w:val="21"/>
                <w:szCs w:val="21"/>
                <w:lang w:bidi="ar"/>
              </w:rPr>
              <w:t>。</w:t>
            </w:r>
            <w:r>
              <w:rPr>
                <w:rFonts w:hint="default" w:ascii="宋体" w:hAnsi="宋体" w:cs="宋体"/>
                <w:sz w:val="21"/>
                <w:szCs w:val="21"/>
                <w:lang w:bidi="ar"/>
              </w:rPr>
              <w:t>劳动</w:t>
            </w:r>
            <w:r>
              <w:rPr>
                <w:rFonts w:hint="eastAsia" w:ascii="宋体" w:hAnsi="宋体" w:cs="宋体"/>
                <w:sz w:val="21"/>
                <w:szCs w:val="21"/>
                <w:lang w:bidi="ar"/>
              </w:rPr>
              <w:t>定员200人。</w:t>
            </w:r>
          </w:p>
          <w:p>
            <w:pPr>
              <w:keepNext w:val="0"/>
              <w:keepLines w:val="0"/>
              <w:widowControl/>
              <w:suppressLineNumbers w:val="0"/>
              <w:spacing w:before="0" w:beforeAutospacing="0" w:after="0" w:afterAutospacing="0"/>
              <w:ind w:left="0" w:right="0" w:firstLine="422"/>
              <w:rPr>
                <w:rFonts w:hint="default"/>
                <w:b/>
                <w:bCs/>
                <w:sz w:val="21"/>
                <w:szCs w:val="21"/>
              </w:rPr>
            </w:pPr>
            <w:r>
              <w:rPr>
                <w:rFonts w:hint="eastAsia"/>
                <w:b/>
                <w:bCs/>
                <w:sz w:val="21"/>
                <w:szCs w:val="21"/>
              </w:rPr>
              <w:t>平面布置</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项目设置生产车间、办公楼及其他辅助设施，车间内分为金属材料仓库、数控切割区、半成品区、废料区、焊接区、拼装区、喷漆房、探伤房等。项目平面布置详见</w:t>
            </w:r>
            <w:r>
              <w:rPr>
                <w:rFonts w:hint="default"/>
                <w:sz w:val="21"/>
                <w:szCs w:val="21"/>
              </w:rPr>
              <w:t>附图2项目总平面布置图</w:t>
            </w:r>
            <w:r>
              <w:rPr>
                <w:rFonts w:hint="eastAsia"/>
                <w:sz w:val="21"/>
                <w:szCs w:val="21"/>
              </w:rPr>
              <w:t>及</w:t>
            </w:r>
            <w:r>
              <w:rPr>
                <w:rFonts w:hint="default"/>
                <w:sz w:val="21"/>
                <w:szCs w:val="21"/>
              </w:rPr>
              <w:t>附图3</w:t>
            </w:r>
            <w:r>
              <w:rPr>
                <w:rFonts w:hint="eastAsia"/>
                <w:sz w:val="21"/>
                <w:szCs w:val="21"/>
              </w:rPr>
              <w:t>车间布置图。</w:t>
            </w:r>
          </w:p>
          <w:p>
            <w:pPr>
              <w:pStyle w:val="15"/>
              <w:keepNext w:val="0"/>
              <w:keepLines w:val="0"/>
              <w:widowControl/>
              <w:suppressLineNumbers w:val="0"/>
              <w:spacing w:before="0" w:beforeAutospacing="0" w:afterAutospacing="0"/>
              <w:ind w:left="0" w:right="0" w:firstLine="420"/>
              <w:rPr>
                <w:rFonts w:hint="default"/>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71" w:hRule="atLeast"/>
          <w:jc w:val="center"/>
        </w:trPr>
        <w:tc>
          <w:tcPr>
            <w:tcW w:w="823" w:type="dxa"/>
            <w:tcBorders>
              <w:top w:val="single" w:color="auto" w:sz="4" w:space="0"/>
              <w:left w:val="single" w:color="auto" w:sz="8" w:space="0"/>
              <w:bottom w:val="single" w:color="auto" w:sz="4" w:space="0"/>
              <w:right w:val="single" w:color="auto" w:sz="4" w:space="0"/>
            </w:tcBorders>
            <w:shd w:val="clear" w:color="auto" w:fill="auto"/>
            <w:vAlign w:val="center"/>
          </w:tcPr>
          <w:p>
            <w:pPr>
              <w:pStyle w:val="22"/>
              <w:keepNext w:val="0"/>
              <w:keepLines w:val="0"/>
              <w:widowControl/>
              <w:suppressLineNumbers w:val="0"/>
              <w:spacing w:before="0" w:beforeAutospacing="0" w:after="0" w:afterAutospacing="0"/>
              <w:ind w:left="0" w:right="0" w:firstLine="0" w:firstLineChars="0"/>
              <w:jc w:val="center"/>
              <w:rPr>
                <w:rFonts w:hint="default" w:cs="宋体"/>
                <w:sz w:val="21"/>
                <w:szCs w:val="21"/>
              </w:rPr>
            </w:pPr>
            <w:r>
              <w:rPr>
                <w:rFonts w:hint="default" w:cs="宋体"/>
                <w:sz w:val="21"/>
                <w:szCs w:val="21"/>
              </w:rPr>
              <w:t>工艺流程和产排污环节</w:t>
            </w:r>
          </w:p>
        </w:tc>
        <w:tc>
          <w:tcPr>
            <w:tcW w:w="8161" w:type="dxa"/>
            <w:tcBorders>
              <w:top w:val="single" w:color="auto" w:sz="4" w:space="0"/>
              <w:left w:val="single" w:color="auto" w:sz="4" w:space="0"/>
              <w:bottom w:val="single" w:color="auto" w:sz="4" w:space="0"/>
              <w:right w:val="single" w:color="auto" w:sz="8" w:space="0"/>
            </w:tcBorders>
            <w:shd w:val="clear" w:color="auto" w:fill="auto"/>
          </w:tcPr>
          <w:p>
            <w:pPr>
              <w:keepNext/>
              <w:keepLines/>
              <w:widowControl w:val="0"/>
              <w:suppressLineNumbers w:val="0"/>
              <w:spacing w:before="0" w:beforeAutospacing="0" w:after="0" w:afterAutospacing="0"/>
              <w:ind w:left="0" w:right="0" w:firstLine="422"/>
              <w:jc w:val="both"/>
              <w:outlineLvl w:val="0"/>
              <w:rPr>
                <w:rFonts w:hint="default" w:cs="Times New Roman"/>
                <w:b/>
                <w:kern w:val="44"/>
                <w:sz w:val="21"/>
                <w:szCs w:val="21"/>
              </w:rPr>
            </w:pPr>
            <w:bookmarkStart w:id="8" w:name="_Toc5043"/>
            <w:bookmarkStart w:id="9" w:name="_Toc18047"/>
            <w:r>
              <w:rPr>
                <w:rFonts w:hint="eastAsia" w:cs="Times New Roman"/>
                <w:b/>
                <w:kern w:val="44"/>
                <w:sz w:val="21"/>
                <w:szCs w:val="21"/>
              </w:rPr>
              <w:t>2</w:t>
            </w:r>
            <w:r>
              <w:rPr>
                <w:rFonts w:hint="default" w:cs="Times New Roman"/>
                <w:b/>
                <w:kern w:val="44"/>
                <w:sz w:val="21"/>
                <w:szCs w:val="21"/>
              </w:rPr>
              <w:t>.</w:t>
            </w:r>
            <w:r>
              <w:rPr>
                <w:rFonts w:hint="eastAsia" w:cs="Times New Roman"/>
                <w:b/>
                <w:kern w:val="44"/>
                <w:sz w:val="21"/>
                <w:szCs w:val="21"/>
              </w:rPr>
              <w:t>2</w:t>
            </w:r>
            <w:r>
              <w:rPr>
                <w:rFonts w:hint="default" w:cs="Times New Roman"/>
                <w:b/>
                <w:kern w:val="44"/>
                <w:sz w:val="21"/>
                <w:szCs w:val="21"/>
              </w:rPr>
              <w:t>施工期工程分析</w:t>
            </w:r>
            <w:bookmarkEnd w:id="8"/>
            <w:bookmarkEnd w:id="9"/>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本项目为新建项目，需进行土建工程、主体、辅助工程等工程的设备安装。主要工程流程如下图所示。</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pict>
                <v:shape id="对象 30" o:spid="_x0000_s1026" o:spt="75" type="#_x0000_t75" style="position:absolute;left:0pt;margin-left:-4.65pt;margin-top:4.4pt;height:89.15pt;width:404.2pt;mso-wrap-distance-left:9pt;mso-wrap-distance-right:9pt;z-index:-251657216;mso-width-relative:page;mso-height-relative:page;" o:ole="t" filled="f" o:preferrelative="t" stroked="f" coordsize="21600,21600" wrapcoords="21591 -2 0 0 0 21600 21591 21602 8 21602 21599 21600 21599 0 8 -2 21591 -2">
                  <v:path/>
                  <v:fill on="f" focussize="0,0"/>
                  <v:stroke on="f" joinstyle="miter"/>
                  <v:imagedata r:id="rId23" o:title=""/>
                  <o:lock v:ext="edit" aspectratio="f"/>
                  <w10:wrap type="tight"/>
                </v:shape>
                <o:OLEObject Type="Embed" ProgID="Visio.Drawing.11" ShapeID="对象 30" DrawAspect="Content" ObjectID="_1468075725" r:id="rId22">
                  <o:LockedField>false</o:LockedField>
                </o:OLEObject>
              </w:pict>
            </w:r>
            <w:r>
              <w:rPr>
                <w:rFonts w:hint="default"/>
                <w:color w:val="auto"/>
                <w:sz w:val="21"/>
                <w:szCs w:val="21"/>
              </w:rPr>
              <w:t>图</w:t>
            </w:r>
            <w:r>
              <w:rPr>
                <w:rFonts w:hint="eastAsia"/>
                <w:color w:val="auto"/>
                <w:sz w:val="21"/>
                <w:szCs w:val="21"/>
              </w:rPr>
              <w:t>2</w:t>
            </w:r>
            <w:r>
              <w:rPr>
                <w:rFonts w:hint="default"/>
                <w:color w:val="auto"/>
                <w:sz w:val="21"/>
                <w:szCs w:val="21"/>
              </w:rPr>
              <w:t>-1   项目施工工艺流程及产污环节</w:t>
            </w:r>
          </w:p>
          <w:p>
            <w:pPr>
              <w:pStyle w:val="47"/>
              <w:keepNext w:val="0"/>
              <w:keepLines w:val="0"/>
              <w:suppressLineNumbers w:val="0"/>
              <w:spacing w:before="0" w:beforeAutospacing="0" w:after="0" w:afterAutospacing="0"/>
              <w:ind w:left="0" w:right="0" w:firstLine="422"/>
              <w:rPr>
                <w:rFonts w:hint="default" w:cs="Times New Roman"/>
                <w:kern w:val="2"/>
                <w:sz w:val="21"/>
                <w:szCs w:val="21"/>
              </w:rPr>
            </w:pPr>
            <w:r>
              <w:rPr>
                <w:rFonts w:hint="default" w:cs="Times New Roman"/>
                <w:kern w:val="2"/>
                <w:sz w:val="21"/>
                <w:szCs w:val="21"/>
              </w:rPr>
              <w:t>施工期主要污染工序</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本项目施工期的主要环境问题是施工噪声、扬尘、施工车辆尾气、建筑垃圾、施工废水以及施工人员产生的生活污水、生活垃圾等。</w:t>
            </w:r>
          </w:p>
          <w:p>
            <w:pPr>
              <w:keepNext/>
              <w:keepLines/>
              <w:widowControl w:val="0"/>
              <w:suppressLineNumbers w:val="0"/>
              <w:spacing w:before="0" w:beforeAutospacing="0" w:after="0" w:afterAutospacing="0"/>
              <w:ind w:left="0" w:right="0" w:firstLine="422"/>
              <w:jc w:val="both"/>
              <w:outlineLvl w:val="0"/>
              <w:rPr>
                <w:rFonts w:hint="eastAsia" w:cs="Times New Roman"/>
                <w:b/>
                <w:kern w:val="44"/>
                <w:sz w:val="21"/>
                <w:szCs w:val="21"/>
              </w:rPr>
            </w:pPr>
            <w:bookmarkStart w:id="10" w:name="_Toc1317"/>
            <w:bookmarkStart w:id="11" w:name="_Toc6001"/>
          </w:p>
          <w:p>
            <w:pPr>
              <w:keepNext/>
              <w:keepLines/>
              <w:widowControl w:val="0"/>
              <w:suppressLineNumbers w:val="0"/>
              <w:spacing w:before="0" w:beforeAutospacing="0" w:after="0" w:afterAutospacing="0"/>
              <w:ind w:left="0" w:right="0" w:firstLine="422"/>
              <w:jc w:val="both"/>
              <w:outlineLvl w:val="0"/>
              <w:rPr>
                <w:rFonts w:hint="default" w:cs="Times New Roman"/>
                <w:b/>
                <w:kern w:val="44"/>
                <w:sz w:val="21"/>
                <w:szCs w:val="21"/>
              </w:rPr>
            </w:pPr>
            <w:r>
              <w:rPr>
                <w:rFonts w:hint="eastAsia" w:cs="Times New Roman"/>
                <w:b/>
                <w:kern w:val="44"/>
                <w:sz w:val="21"/>
                <w:szCs w:val="21"/>
              </w:rPr>
              <w:t>2</w:t>
            </w:r>
            <w:r>
              <w:rPr>
                <w:rFonts w:hint="default" w:cs="Times New Roman"/>
                <w:b/>
                <w:kern w:val="44"/>
                <w:sz w:val="21"/>
                <w:szCs w:val="21"/>
              </w:rPr>
              <w:t>.</w:t>
            </w:r>
            <w:r>
              <w:rPr>
                <w:rFonts w:hint="eastAsia" w:cs="Times New Roman"/>
                <w:b/>
                <w:kern w:val="44"/>
                <w:sz w:val="21"/>
                <w:szCs w:val="21"/>
              </w:rPr>
              <w:t>3</w:t>
            </w:r>
            <w:r>
              <w:rPr>
                <w:rFonts w:hint="default" w:cs="Times New Roman"/>
                <w:b/>
                <w:kern w:val="44"/>
                <w:sz w:val="21"/>
                <w:szCs w:val="21"/>
              </w:rPr>
              <w:t>运营期工程分析</w:t>
            </w:r>
            <w:bookmarkEnd w:id="10"/>
            <w:bookmarkEnd w:id="11"/>
          </w:p>
          <w:p>
            <w:pPr>
              <w:keepNext w:val="0"/>
              <w:keepLines w:val="0"/>
              <w:widowControl/>
              <w:suppressLineNumbers w:val="0"/>
              <w:spacing w:before="0" w:beforeAutospacing="0" w:after="200" w:afterAutospacing="0" w:line="276" w:lineRule="auto"/>
              <w:ind w:left="0" w:right="0" w:firstLine="420"/>
              <w:rPr>
                <w:rFonts w:hint="default" w:cs="Times New Roman"/>
                <w:bCs/>
                <w:kern w:val="44"/>
                <w:sz w:val="21"/>
                <w:szCs w:val="21"/>
              </w:rPr>
            </w:pPr>
            <w:r>
              <w:rPr>
                <w:rFonts w:hint="eastAsia" w:cs="Times New Roman"/>
                <w:bCs/>
                <w:kern w:val="44"/>
                <w:sz w:val="21"/>
                <w:szCs w:val="21"/>
              </w:rPr>
              <w:t>生产工艺流程如下所示。</w:t>
            </w:r>
          </w:p>
          <w:p>
            <w:pPr>
              <w:pStyle w:val="7"/>
              <w:keepNext w:val="0"/>
              <w:keepLines w:val="0"/>
              <w:widowControl/>
              <w:suppressLineNumbers w:val="0"/>
              <w:spacing w:before="0" w:beforeAutospacing="0" w:after="200" w:afterAutospacing="0" w:line="276" w:lineRule="auto"/>
              <w:ind w:left="0" w:right="0" w:firstLine="0" w:firstLineChars="0"/>
              <w:rPr>
                <w:rFonts w:hint="default" w:ascii="Times New Roman"/>
                <w:b/>
                <w:kern w:val="44"/>
                <w:szCs w:val="21"/>
              </w:rPr>
            </w:pPr>
            <w:r>
              <w:rPr>
                <w:rFonts w:hint="eastAsia" w:ascii="Times New Roman"/>
                <w:b/>
                <w:kern w:val="44"/>
                <w:szCs w:val="21"/>
              </w:rPr>
              <w:drawing>
                <wp:inline distT="0" distB="0" distL="114300" distR="114300">
                  <wp:extent cx="4999355" cy="6134100"/>
                  <wp:effectExtent l="0" t="0" r="0" b="0"/>
                  <wp:docPr id="2" name="图片 2" descr="图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形1"/>
                          <pic:cNvPicPr>
                            <a:picLocks noChangeAspect="1"/>
                          </pic:cNvPicPr>
                        </pic:nvPicPr>
                        <pic:blipFill>
                          <a:blip r:embed="rId24"/>
                          <a:stretch>
                            <a:fillRect/>
                          </a:stretch>
                        </pic:blipFill>
                        <pic:spPr>
                          <a:xfrm>
                            <a:off x="0" y="0"/>
                            <a:ext cx="5006352" cy="6142404"/>
                          </a:xfrm>
                          <a:prstGeom prst="rect">
                            <a:avLst/>
                          </a:prstGeom>
                        </pic:spPr>
                      </pic:pic>
                    </a:graphicData>
                  </a:graphic>
                </wp:inline>
              </w:drawing>
            </w:r>
          </w:p>
          <w:p>
            <w:pPr>
              <w:pStyle w:val="7"/>
              <w:keepNext w:val="0"/>
              <w:keepLines w:val="0"/>
              <w:widowControl/>
              <w:suppressLineNumbers w:val="0"/>
              <w:spacing w:before="0" w:beforeAutospacing="0" w:after="200" w:afterAutospacing="0" w:line="276" w:lineRule="auto"/>
              <w:ind w:left="0" w:right="0" w:firstLine="422"/>
              <w:jc w:val="center"/>
              <w:rPr>
                <w:rFonts w:hint="default" w:ascii="Times New Roman"/>
                <w:b/>
                <w:kern w:val="44"/>
                <w:szCs w:val="21"/>
                <w:u w:val="single"/>
              </w:rPr>
            </w:pPr>
            <w:r>
              <w:rPr>
                <w:rFonts w:hint="default" w:ascii="Times New Roman"/>
                <w:b/>
                <w:szCs w:val="21"/>
                <w:u w:val="single"/>
              </w:rPr>
              <w:t>图</w:t>
            </w:r>
            <w:r>
              <w:rPr>
                <w:rFonts w:hint="eastAsia" w:ascii="Times New Roman"/>
                <w:b/>
                <w:szCs w:val="21"/>
                <w:u w:val="single"/>
              </w:rPr>
              <w:t>2-2</w:t>
            </w:r>
            <w:r>
              <w:rPr>
                <w:rFonts w:hint="default" w:ascii="Times New Roman"/>
                <w:b/>
                <w:szCs w:val="21"/>
                <w:u w:val="single"/>
              </w:rPr>
              <w:t xml:space="preserve">  生产工艺流程</w:t>
            </w:r>
          </w:p>
          <w:p>
            <w:pPr>
              <w:pStyle w:val="7"/>
              <w:keepNext w:val="0"/>
              <w:keepLines w:val="0"/>
              <w:widowControl/>
              <w:suppressLineNumbers w:val="0"/>
              <w:spacing w:before="0" w:beforeAutospacing="0" w:after="200" w:afterAutospacing="0" w:line="276" w:lineRule="auto"/>
              <w:ind w:left="0" w:right="0" w:firstLine="422"/>
              <w:rPr>
                <w:rFonts w:hint="default" w:ascii="Times New Roman"/>
                <w:b/>
                <w:kern w:val="44"/>
                <w:szCs w:val="21"/>
              </w:rPr>
            </w:pPr>
          </w:p>
          <w:p>
            <w:pPr>
              <w:pStyle w:val="15"/>
              <w:keepNext w:val="0"/>
              <w:keepLines w:val="0"/>
              <w:widowControl/>
              <w:suppressLineNumbers w:val="0"/>
              <w:adjustRightInd/>
              <w:snapToGrid/>
              <w:spacing w:before="0" w:beforeAutospacing="0" w:afterAutospacing="0"/>
              <w:ind w:left="0" w:right="0" w:firstLine="0" w:firstLineChars="0"/>
              <w:jc w:val="center"/>
              <w:rPr>
                <w:rFonts w:hint="default" w:cs="Times New Roman"/>
                <w:b/>
                <w:kern w:val="44"/>
                <w:sz w:val="21"/>
                <w:szCs w:val="21"/>
              </w:rPr>
            </w:pPr>
            <w:r>
              <w:rPr>
                <w:rFonts w:hint="eastAsia" w:cs="Times New Roman"/>
                <w:b/>
                <w:kern w:val="44"/>
                <w:sz w:val="21"/>
                <w:szCs w:val="21"/>
              </w:rPr>
              <w:object>
                <v:shape id="_x0000_i1025" o:spt="75" type="#_x0000_t75" style="height:307.8pt;width:393.6pt;" o:ole="t" filled="f" o:preferrelative="t" stroked="f" coordsize="21600,21600">
                  <v:path/>
                  <v:fill on="f" focussize="0,0"/>
                  <v:stroke on="f" joinstyle="miter"/>
                  <v:imagedata r:id="rId26" o:title=""/>
                  <o:lock v:ext="edit" aspectratio="t"/>
                  <w10:wrap type="none"/>
                  <w10:anchorlock/>
                </v:shape>
                <o:OLEObject Type="Embed" ProgID="Visio.Drawing.11" ShapeID="_x0000_i1025" DrawAspect="Content" ObjectID="_1468075726" r:id="rId25">
                  <o:LockedField>false</o:LockedField>
                </o:OLEObject>
              </w:object>
            </w:r>
          </w:p>
          <w:p>
            <w:pPr>
              <w:keepNext w:val="0"/>
              <w:keepLines w:val="0"/>
              <w:widowControl/>
              <w:suppressLineNumbers w:val="0"/>
              <w:adjustRightInd/>
              <w:snapToGrid/>
              <w:spacing w:before="0" w:beforeAutospacing="0" w:after="0" w:afterAutospacing="0"/>
              <w:ind w:left="0" w:right="0" w:firstLine="0" w:firstLineChars="0"/>
              <w:jc w:val="center"/>
              <w:rPr>
                <w:rFonts w:hint="default" w:cs="Times New Roman"/>
                <w:b/>
                <w:sz w:val="21"/>
                <w:szCs w:val="21"/>
                <w:u w:val="single"/>
              </w:rPr>
            </w:pPr>
            <w:r>
              <w:rPr>
                <w:rFonts w:hint="default" w:cs="Times New Roman"/>
                <w:b/>
                <w:sz w:val="21"/>
                <w:szCs w:val="21"/>
                <w:u w:val="single"/>
              </w:rPr>
              <w:t>图</w:t>
            </w:r>
            <w:r>
              <w:rPr>
                <w:rFonts w:hint="eastAsia" w:cs="Times New Roman"/>
                <w:b/>
                <w:sz w:val="21"/>
                <w:szCs w:val="21"/>
                <w:u w:val="single"/>
              </w:rPr>
              <w:t>2-3</w:t>
            </w:r>
            <w:r>
              <w:rPr>
                <w:rFonts w:hint="default" w:cs="Times New Roman"/>
                <w:b/>
                <w:sz w:val="21"/>
                <w:szCs w:val="21"/>
                <w:u w:val="single"/>
              </w:rPr>
              <w:t xml:space="preserve">  </w:t>
            </w:r>
            <w:r>
              <w:rPr>
                <w:rFonts w:hint="eastAsia" w:cs="Times New Roman"/>
                <w:b/>
                <w:sz w:val="21"/>
                <w:szCs w:val="21"/>
                <w:u w:val="single"/>
              </w:rPr>
              <w:t>厂区内</w:t>
            </w:r>
            <w:r>
              <w:rPr>
                <w:rFonts w:hint="default" w:cs="Times New Roman"/>
                <w:b/>
                <w:sz w:val="21"/>
                <w:szCs w:val="21"/>
                <w:u w:val="single"/>
              </w:rPr>
              <w:t>生产工艺流程</w:t>
            </w:r>
            <w:r>
              <w:rPr>
                <w:rFonts w:hint="eastAsia" w:cs="Times New Roman"/>
                <w:b/>
                <w:sz w:val="21"/>
                <w:szCs w:val="21"/>
                <w:u w:val="single"/>
              </w:rPr>
              <w:t>及产污环节</w:t>
            </w:r>
            <w:r>
              <w:rPr>
                <w:rFonts w:hint="default" w:cs="Times New Roman"/>
                <w:b/>
                <w:sz w:val="21"/>
                <w:szCs w:val="21"/>
                <w:u w:val="single"/>
              </w:rPr>
              <w:t>图</w:t>
            </w:r>
          </w:p>
          <w:p>
            <w:pPr>
              <w:keepNext/>
              <w:keepLines/>
              <w:widowControl w:val="0"/>
              <w:suppressLineNumbers w:val="0"/>
              <w:spacing w:before="0" w:beforeAutospacing="0" w:after="0" w:afterAutospacing="0"/>
              <w:ind w:left="0" w:right="0" w:firstLine="422"/>
              <w:jc w:val="both"/>
              <w:outlineLvl w:val="0"/>
              <w:rPr>
                <w:rFonts w:hint="default" w:cs="Times New Roman"/>
                <w:b/>
                <w:kern w:val="44"/>
                <w:sz w:val="21"/>
                <w:szCs w:val="21"/>
              </w:rPr>
            </w:pPr>
            <w:bookmarkStart w:id="12" w:name="_Toc30091"/>
            <w:bookmarkStart w:id="13" w:name="_Toc13018"/>
            <w:r>
              <w:rPr>
                <w:rFonts w:hint="default" w:cs="Times New Roman"/>
                <w:b/>
                <w:kern w:val="44"/>
                <w:sz w:val="21"/>
                <w:szCs w:val="21"/>
              </w:rPr>
              <w:t>生产工艺流程及简述</w:t>
            </w:r>
            <w:bookmarkEnd w:id="12"/>
            <w:bookmarkEnd w:id="13"/>
            <w:r>
              <w:rPr>
                <w:rFonts w:hint="eastAsia" w:cs="Times New Roman"/>
                <w:b/>
                <w:kern w:val="44"/>
                <w:sz w:val="21"/>
                <w:szCs w:val="21"/>
              </w:rPr>
              <w:t>：</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外购来料进厂后，进行机械冷加工（剪、钻孔、折弯、卷），后采用吊装辅以人工进行拼装焊接，焊材采用焊条/焊丝进行人工焊接，焊接完成后，对工件进行喷砂、喷漆，以上工序完成后，进行自检，检验合格后运至工地组装使用。</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焊接工序：</w:t>
            </w:r>
            <w:r>
              <w:rPr>
                <w:rFonts w:hint="default"/>
                <w:sz w:val="21"/>
                <w:szCs w:val="21"/>
              </w:rPr>
              <w:t>焊接工艺主要有电弧焊、二氧化碳气体保护焊、氩弧焊和自动埋弧焊。</w:t>
            </w:r>
            <w:r>
              <w:rPr>
                <w:rFonts w:hint="eastAsia"/>
                <w:sz w:val="21"/>
                <w:szCs w:val="21"/>
              </w:rPr>
              <w:t>根据不同的工艺要求选择焊接工艺。</w:t>
            </w:r>
          </w:p>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rPr>
              <w:t>喷砂目的</w:t>
            </w:r>
            <w:r>
              <w:rPr>
                <w:rFonts w:hint="eastAsia"/>
                <w:sz w:val="21"/>
                <w:szCs w:val="21"/>
              </w:rPr>
              <w:t>：</w:t>
            </w:r>
            <w:r>
              <w:rPr>
                <w:rFonts w:hint="default"/>
                <w:sz w:val="21"/>
                <w:szCs w:val="21"/>
              </w:rPr>
              <w:t>为了清除焊接产品表面的锈蚀、焊渣、氧化皮以及表面附着物</w:t>
            </w:r>
            <w:r>
              <w:rPr>
                <w:rFonts w:hint="eastAsia"/>
                <w:sz w:val="21"/>
                <w:szCs w:val="21"/>
              </w:rPr>
              <w:t>，</w:t>
            </w:r>
            <w:r>
              <w:rPr>
                <w:rFonts w:hint="default"/>
                <w:sz w:val="21"/>
                <w:szCs w:val="21"/>
              </w:rPr>
              <w:t>使产品表面达到一定的清洁度指标</w:t>
            </w:r>
            <w:r>
              <w:rPr>
                <w:rFonts w:hint="eastAsia"/>
                <w:sz w:val="21"/>
                <w:szCs w:val="21"/>
              </w:rPr>
              <w:t>，</w:t>
            </w:r>
            <w:r>
              <w:rPr>
                <w:rFonts w:hint="default"/>
                <w:sz w:val="21"/>
                <w:szCs w:val="21"/>
              </w:rPr>
              <w:t>以增强漆膜的附着力</w:t>
            </w:r>
            <w:r>
              <w:rPr>
                <w:rFonts w:hint="eastAsia"/>
                <w:sz w:val="21"/>
                <w:szCs w:val="21"/>
              </w:rPr>
              <w:t>，</w:t>
            </w:r>
            <w:r>
              <w:rPr>
                <w:rFonts w:hint="default"/>
                <w:sz w:val="21"/>
                <w:szCs w:val="21"/>
              </w:rPr>
              <w:t>从而根本上提高产品的抗腐蚀能力和表面质量</w:t>
            </w:r>
            <w:r>
              <w:rPr>
                <w:rFonts w:hint="eastAsia"/>
                <w:sz w:val="21"/>
                <w:szCs w:val="21"/>
              </w:rPr>
              <w:t>，</w:t>
            </w:r>
            <w:r>
              <w:rPr>
                <w:rFonts w:hint="default"/>
                <w:sz w:val="21"/>
                <w:szCs w:val="21"/>
              </w:rPr>
              <w:t>为涂装作业准备一个清洁无锈蚀的表面。同时</w:t>
            </w:r>
            <w:r>
              <w:rPr>
                <w:rFonts w:hint="eastAsia"/>
                <w:sz w:val="21"/>
                <w:szCs w:val="21"/>
              </w:rPr>
              <w:t>，</w:t>
            </w:r>
            <w:r>
              <w:rPr>
                <w:rFonts w:hint="default"/>
                <w:sz w:val="21"/>
                <w:szCs w:val="21"/>
              </w:rPr>
              <w:t>经喷砂后</w:t>
            </w:r>
            <w:r>
              <w:rPr>
                <w:rFonts w:hint="eastAsia"/>
                <w:sz w:val="21"/>
                <w:szCs w:val="21"/>
              </w:rPr>
              <w:t>，</w:t>
            </w:r>
            <w:r>
              <w:rPr>
                <w:rFonts w:hint="default"/>
                <w:sz w:val="21"/>
                <w:szCs w:val="21"/>
              </w:rPr>
              <w:t>产品的焊接应力分布状态有明显改善</w:t>
            </w:r>
            <w:r>
              <w:rPr>
                <w:rFonts w:hint="eastAsia"/>
                <w:sz w:val="21"/>
                <w:szCs w:val="21"/>
              </w:rPr>
              <w:t>，</w:t>
            </w:r>
            <w:r>
              <w:rPr>
                <w:rFonts w:hint="default"/>
                <w:sz w:val="21"/>
                <w:szCs w:val="21"/>
              </w:rPr>
              <w:t>提高了抗疲劳性能</w:t>
            </w:r>
            <w:r>
              <w:rPr>
                <w:rFonts w:hint="eastAsia"/>
                <w:sz w:val="21"/>
                <w:szCs w:val="21"/>
              </w:rPr>
              <w:t>。</w:t>
            </w:r>
          </w:p>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rPr>
              <w:t>喷砂</w:t>
            </w:r>
            <w:r>
              <w:rPr>
                <w:rFonts w:hint="eastAsia"/>
                <w:sz w:val="21"/>
                <w:szCs w:val="21"/>
              </w:rPr>
              <w:t>工作原理：</w:t>
            </w:r>
            <w:r>
              <w:rPr>
                <w:rFonts w:hint="default"/>
                <w:sz w:val="21"/>
                <w:szCs w:val="21"/>
              </w:rPr>
              <w:t>采用压缩空气为动力</w:t>
            </w:r>
            <w:r>
              <w:rPr>
                <w:rFonts w:hint="eastAsia"/>
                <w:sz w:val="21"/>
                <w:szCs w:val="21"/>
              </w:rPr>
              <w:t>，</w:t>
            </w:r>
            <w:r>
              <w:rPr>
                <w:rFonts w:hint="default"/>
                <w:sz w:val="21"/>
                <w:szCs w:val="21"/>
              </w:rPr>
              <w:t>以形成高速喷射束将磨料(钢砂)高速喷射到被需处理工件表面</w:t>
            </w:r>
            <w:r>
              <w:rPr>
                <w:rFonts w:hint="eastAsia"/>
                <w:sz w:val="21"/>
                <w:szCs w:val="21"/>
              </w:rPr>
              <w:t>，</w:t>
            </w:r>
            <w:r>
              <w:rPr>
                <w:rFonts w:hint="default"/>
                <w:sz w:val="21"/>
                <w:szCs w:val="21"/>
              </w:rPr>
              <w:t>使工件表面的外表面的外表或形状发生变化</w:t>
            </w:r>
            <w:r>
              <w:rPr>
                <w:rFonts w:hint="eastAsia"/>
                <w:sz w:val="21"/>
                <w:szCs w:val="21"/>
              </w:rPr>
              <w:t>，</w:t>
            </w:r>
            <w:r>
              <w:rPr>
                <w:rFonts w:hint="default"/>
                <w:sz w:val="21"/>
                <w:szCs w:val="21"/>
              </w:rPr>
              <w:t>由于磨料对工件表面的冲击和切削作用</w:t>
            </w:r>
            <w:r>
              <w:rPr>
                <w:rFonts w:hint="eastAsia"/>
                <w:sz w:val="21"/>
                <w:szCs w:val="21"/>
              </w:rPr>
              <w:t>，</w:t>
            </w:r>
            <w:r>
              <w:rPr>
                <w:rFonts w:hint="default"/>
                <w:sz w:val="21"/>
                <w:szCs w:val="21"/>
              </w:rPr>
              <w:t>使工件的表面获的一定的清洁度和不同的粗糙度</w:t>
            </w:r>
            <w:r>
              <w:rPr>
                <w:rFonts w:hint="eastAsia"/>
                <w:sz w:val="21"/>
                <w:szCs w:val="21"/>
              </w:rPr>
              <w:t>，</w:t>
            </w:r>
            <w:r>
              <w:rPr>
                <w:rFonts w:hint="default"/>
                <w:sz w:val="21"/>
                <w:szCs w:val="21"/>
              </w:rPr>
              <w:t>使工件表面的机械性能得到改善</w:t>
            </w:r>
            <w:r>
              <w:rPr>
                <w:rFonts w:hint="eastAsia"/>
                <w:sz w:val="21"/>
                <w:szCs w:val="21"/>
              </w:rPr>
              <w:t>，</w:t>
            </w:r>
            <w:r>
              <w:rPr>
                <w:rFonts w:hint="default"/>
                <w:sz w:val="21"/>
                <w:szCs w:val="21"/>
              </w:rPr>
              <w:t>因此提高了工件的抗疲劳性</w:t>
            </w:r>
            <w:r>
              <w:rPr>
                <w:rFonts w:hint="eastAsia"/>
                <w:sz w:val="21"/>
                <w:szCs w:val="21"/>
              </w:rPr>
              <w:t>，</w:t>
            </w:r>
            <w:r>
              <w:rPr>
                <w:rFonts w:hint="default"/>
                <w:sz w:val="21"/>
                <w:szCs w:val="21"/>
              </w:rPr>
              <w:t>增加了它和涂层之间的附着力</w:t>
            </w:r>
            <w:r>
              <w:rPr>
                <w:rFonts w:hint="eastAsia"/>
                <w:sz w:val="21"/>
                <w:szCs w:val="21"/>
              </w:rPr>
              <w:t>，</w:t>
            </w:r>
            <w:r>
              <w:rPr>
                <w:rFonts w:hint="default"/>
                <w:sz w:val="21"/>
                <w:szCs w:val="21"/>
              </w:rPr>
              <w:t>延长了涂膜的耐久性</w:t>
            </w:r>
            <w:r>
              <w:rPr>
                <w:rFonts w:hint="eastAsia"/>
                <w:sz w:val="21"/>
                <w:szCs w:val="21"/>
              </w:rPr>
              <w:t>，</w:t>
            </w:r>
            <w:r>
              <w:rPr>
                <w:rFonts w:hint="default"/>
                <w:sz w:val="21"/>
                <w:szCs w:val="21"/>
              </w:rPr>
              <w:t>也有利于涂料的流平和装饰</w:t>
            </w:r>
            <w:r>
              <w:rPr>
                <w:rFonts w:hint="eastAsia"/>
                <w:sz w:val="21"/>
                <w:szCs w:val="21"/>
              </w:rPr>
              <w:t>。</w:t>
            </w:r>
          </w:p>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rPr>
              <w:t>喷砂作业时</w:t>
            </w:r>
            <w:r>
              <w:rPr>
                <w:rFonts w:hint="eastAsia"/>
                <w:sz w:val="21"/>
                <w:szCs w:val="21"/>
              </w:rPr>
              <w:t>，封闭的喷砂房</w:t>
            </w:r>
            <w:r>
              <w:rPr>
                <w:rFonts w:hint="default"/>
                <w:sz w:val="21"/>
                <w:szCs w:val="21"/>
              </w:rPr>
              <w:t>内由于引风机的作用而处于负压状态</w:t>
            </w:r>
            <w:r>
              <w:rPr>
                <w:rFonts w:hint="eastAsia"/>
                <w:sz w:val="21"/>
                <w:szCs w:val="21"/>
              </w:rPr>
              <w:t>，</w:t>
            </w:r>
            <w:r>
              <w:rPr>
                <w:rFonts w:hint="default"/>
                <w:sz w:val="21"/>
                <w:szCs w:val="21"/>
              </w:rPr>
              <w:t>保证了喷砂时的粉尘不会外泻</w:t>
            </w:r>
            <w:r>
              <w:rPr>
                <w:rFonts w:hint="eastAsia"/>
                <w:sz w:val="21"/>
                <w:szCs w:val="21"/>
              </w:rPr>
              <w:t>，</w:t>
            </w:r>
            <w:r>
              <w:rPr>
                <w:rFonts w:hint="default"/>
                <w:sz w:val="21"/>
                <w:szCs w:val="21"/>
              </w:rPr>
              <w:t>维持了干净整洁的外部环境。喷出后散落的丸料经由</w:t>
            </w:r>
            <w:r>
              <w:rPr>
                <w:rFonts w:hint="eastAsia"/>
                <w:szCs w:val="21"/>
                <w:u w:val="single"/>
              </w:rPr>
              <w:t>抽风管道送进水浴池处理后</w:t>
            </w:r>
            <w:r>
              <w:rPr>
                <w:rFonts w:hint="default"/>
                <w:sz w:val="21"/>
                <w:szCs w:val="21"/>
              </w:rPr>
              <w:t>排放</w:t>
            </w:r>
            <w:r>
              <w:rPr>
                <w:rFonts w:hint="eastAsia"/>
                <w:sz w:val="21"/>
                <w:szCs w:val="21"/>
              </w:rPr>
              <w:t>。</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喷漆： 喷涂底材要求无锈、无油污，保持清洁干燥。在</w:t>
            </w:r>
            <w:r>
              <w:rPr>
                <w:rFonts w:hint="eastAsia" w:cs="Times New Roman"/>
                <w:sz w:val="21"/>
                <w:szCs w:val="21"/>
              </w:rPr>
              <w:t>封闭的</w:t>
            </w:r>
            <w:r>
              <w:rPr>
                <w:rFonts w:hint="eastAsia"/>
                <w:sz w:val="21"/>
                <w:szCs w:val="21"/>
              </w:rPr>
              <w:t>喷漆房内进行，采用高压无气喷涂或高流量低压力（HVLP）喷枪等高效涂装技术进行喷漆，本项目所用喷枪数量为2个。</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水压试验：主要用于实验桥梁钢结构的承载力、刚度、稳定性，所用设备型号为2D1-SY83/40（1台）。水压试验区循环池的排水频次约为4-5次/月，每次排水量平均约为1-1.5吨。水压试验用水设置有循环水池，水池大小约</w:t>
            </w:r>
            <w:r>
              <w:rPr>
                <w:rFonts w:hint="eastAsia"/>
                <w:sz w:val="21"/>
                <w:szCs w:val="21"/>
                <w:lang w:eastAsia="zh-CN"/>
              </w:rPr>
              <w:t>1.5m*2m*3m</w:t>
            </w:r>
            <w:r>
              <w:rPr>
                <w:rFonts w:hint="eastAsia"/>
                <w:sz w:val="21"/>
                <w:szCs w:val="21"/>
              </w:rPr>
              <w:t>。</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探伤：探伤工艺主要是X射线和超声波。其环保设施为专用X射线曝光室和移动探伤房。探伤仪器型号为XXHZ-3005周向机（1台）。探伤辐射的防护护具：在X射线曝光室有经检测的符合要求的操作通道（工作室）还有移动探伤房。详见平面布置图。</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表2-11  产污环节一览表</w:t>
            </w:r>
          </w:p>
          <w:tbl>
            <w:tblPr>
              <w:tblStyle w:val="25"/>
              <w:tblW w:w="4831" w:type="pct"/>
              <w:tblInd w:w="0" w:type="dxa"/>
              <w:tblLayout w:type="fixed"/>
              <w:tblCellMar>
                <w:top w:w="0" w:type="dxa"/>
                <w:left w:w="108" w:type="dxa"/>
                <w:bottom w:w="0" w:type="dxa"/>
                <w:right w:w="108" w:type="dxa"/>
              </w:tblCellMar>
            </w:tblPr>
            <w:tblGrid>
              <w:gridCol w:w="790"/>
              <w:gridCol w:w="789"/>
              <w:gridCol w:w="2643"/>
              <w:gridCol w:w="3455"/>
            </w:tblGrid>
            <w:tr>
              <w:trPr>
                <w:trHeight w:val="258" w:hRule="atLeast"/>
              </w:trPr>
              <w:tc>
                <w:tcPr>
                  <w:tcW w:w="514" w:type="pct"/>
                  <w:tcBorders>
                    <w:top w:val="single" w:color="auto" w:sz="8" w:space="0"/>
                    <w:left w:val="single" w:color="auto" w:sz="8" w:space="0"/>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类别</w:t>
                  </w:r>
                </w:p>
              </w:tc>
              <w:tc>
                <w:tcPr>
                  <w:tcW w:w="514" w:type="pct"/>
                  <w:tcBorders>
                    <w:top w:val="single" w:color="auto" w:sz="8" w:space="0"/>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编号</w:t>
                  </w:r>
                </w:p>
              </w:tc>
              <w:tc>
                <w:tcPr>
                  <w:tcW w:w="1721" w:type="pct"/>
                  <w:tcBorders>
                    <w:top w:val="single" w:color="auto" w:sz="8" w:space="0"/>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产污环节</w:t>
                  </w:r>
                </w:p>
              </w:tc>
              <w:tc>
                <w:tcPr>
                  <w:tcW w:w="2250" w:type="pct"/>
                  <w:tcBorders>
                    <w:top w:val="single" w:color="auto" w:sz="8" w:space="0"/>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污染物因子</w:t>
                  </w:r>
                </w:p>
              </w:tc>
            </w:tr>
            <w:tr>
              <w:tblPrEx>
                <w:tblCellMar>
                  <w:top w:w="0" w:type="dxa"/>
                  <w:left w:w="108" w:type="dxa"/>
                  <w:bottom w:w="0" w:type="dxa"/>
                  <w:right w:w="108" w:type="dxa"/>
                </w:tblCellMar>
              </w:tblPrEx>
              <w:trPr>
                <w:trHeight w:val="258" w:hRule="atLeast"/>
              </w:trPr>
              <w:tc>
                <w:tcPr>
                  <w:tcW w:w="514" w:type="pct"/>
                  <w:vMerge w:val="restart"/>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废气</w:t>
                  </w: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G1</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焊接烟气</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颗粒物</w:t>
                  </w:r>
                </w:p>
              </w:tc>
            </w:tr>
            <w:tr>
              <w:tblPrEx>
                <w:tblCellMar>
                  <w:top w:w="0" w:type="dxa"/>
                  <w:left w:w="108" w:type="dxa"/>
                  <w:bottom w:w="0" w:type="dxa"/>
                  <w:right w:w="108" w:type="dxa"/>
                </w:tblCellMar>
              </w:tblPrEx>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G2</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喷砂废气</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颗粒物</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G3</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切割废气</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颗粒物</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G4</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喷漆废气</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VOCs</w:t>
                  </w:r>
                </w:p>
              </w:tc>
            </w:tr>
            <w:tr>
              <w:trPr>
                <w:trHeight w:val="258" w:hRule="atLeast"/>
              </w:trPr>
              <w:tc>
                <w:tcPr>
                  <w:tcW w:w="514" w:type="pct"/>
                  <w:vMerge w:val="restart"/>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废水</w:t>
                  </w: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W1</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生活废水</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COD、氨氮、SS、动植物油</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W2</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水压试验水</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COD、氨氮、SS</w:t>
                  </w:r>
                </w:p>
              </w:tc>
            </w:tr>
            <w:tr>
              <w:trPr>
                <w:trHeight w:val="258" w:hRule="atLeast"/>
              </w:trPr>
              <w:tc>
                <w:tcPr>
                  <w:tcW w:w="514" w:type="pct"/>
                  <w:vMerge w:val="restart"/>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固废</w:t>
                  </w: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S1</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员工生活</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生活垃圾</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S2</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剪</w:t>
                  </w:r>
                  <w:r>
                    <w:rPr>
                      <w:rFonts w:hint="default"/>
                      <w:szCs w:val="21"/>
                    </w:rPr>
                    <w:t>/</w:t>
                  </w:r>
                  <w:r>
                    <w:rPr>
                      <w:rFonts w:hint="eastAsia"/>
                      <w:szCs w:val="21"/>
                    </w:rPr>
                    <w:t>钻孔</w:t>
                  </w:r>
                  <w:r>
                    <w:rPr>
                      <w:rFonts w:hint="default"/>
                      <w:szCs w:val="21"/>
                    </w:rPr>
                    <w:t>/</w:t>
                  </w:r>
                  <w:r>
                    <w:rPr>
                      <w:rFonts w:hint="eastAsia"/>
                      <w:szCs w:val="21"/>
                    </w:rPr>
                    <w:t>折弯</w:t>
                  </w:r>
                  <w:r>
                    <w:rPr>
                      <w:rFonts w:hint="default"/>
                      <w:szCs w:val="21"/>
                    </w:rPr>
                    <w:t>/</w:t>
                  </w:r>
                  <w:r>
                    <w:rPr>
                      <w:rFonts w:hint="eastAsia"/>
                      <w:szCs w:val="21"/>
                    </w:rPr>
                    <w:t>卷</w:t>
                  </w:r>
                  <w:r>
                    <w:rPr>
                      <w:rFonts w:hint="default"/>
                      <w:szCs w:val="21"/>
                    </w:rPr>
                    <w:t>/</w:t>
                  </w:r>
                  <w:r>
                    <w:rPr>
                      <w:rFonts w:hint="eastAsia"/>
                      <w:szCs w:val="21"/>
                    </w:rPr>
                    <w:t>切割</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废边角料</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S3</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焊接</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焊渣</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S4</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机械加工过程</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废矿物油</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S5</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喷漆过程</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废漆渣</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S6</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废漆桶、废稀释剂桶</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废漆桶、废稀释剂桶</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S7</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活性炭吸附过程</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废活性炭</w:t>
                  </w:r>
                </w:p>
              </w:tc>
            </w:tr>
            <w:tr>
              <w:trPr>
                <w:trHeight w:val="258" w:hRule="atLeast"/>
              </w:trPr>
              <w:tc>
                <w:tcPr>
                  <w:tcW w:w="514" w:type="pct"/>
                  <w:vMerge w:val="continue"/>
                  <w:tcBorders>
                    <w:top w:val="nil"/>
                    <w:left w:val="single" w:color="auto" w:sz="8" w:space="0"/>
                    <w:bottom w:val="single" w:color="000000"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S8</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水帘柜更换废水</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水帘柜更换废水</w:t>
                  </w:r>
                </w:p>
              </w:tc>
            </w:tr>
            <w:tr>
              <w:trPr>
                <w:trHeight w:val="274" w:hRule="atLeast"/>
              </w:trPr>
              <w:tc>
                <w:tcPr>
                  <w:tcW w:w="514" w:type="pct"/>
                  <w:tcBorders>
                    <w:top w:val="nil"/>
                    <w:left w:val="single" w:color="auto" w:sz="8" w:space="0"/>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噪声</w:t>
                  </w:r>
                </w:p>
              </w:tc>
              <w:tc>
                <w:tcPr>
                  <w:tcW w:w="514"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N</w:t>
                  </w:r>
                </w:p>
              </w:tc>
              <w:tc>
                <w:tcPr>
                  <w:tcW w:w="1721"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机械加工过程</w:t>
                  </w:r>
                </w:p>
              </w:tc>
              <w:tc>
                <w:tcPr>
                  <w:tcW w:w="2250" w:type="pct"/>
                  <w:tcBorders>
                    <w:top w:val="nil"/>
                    <w:left w:val="nil"/>
                    <w:bottom w:val="single" w:color="auto" w:sz="8" w:space="0"/>
                    <w:right w:val="single" w:color="auto" w:sz="8" w:space="0"/>
                  </w:tcBorders>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噪声</w:t>
                  </w:r>
                </w:p>
              </w:tc>
            </w:tr>
          </w:tbl>
          <w:p>
            <w:pPr>
              <w:keepNext w:val="0"/>
              <w:keepLines w:val="0"/>
              <w:widowControl/>
              <w:suppressLineNumbers w:val="0"/>
              <w:spacing w:before="0" w:beforeAutospacing="0" w:after="200" w:afterAutospacing="0"/>
              <w:ind w:left="480" w:leftChars="200" w:right="0" w:firstLine="0" w:firstLineChars="0"/>
              <w:rPr>
                <w:rFonts w:hint="default"/>
                <w:sz w:val="21"/>
                <w:szCs w:val="21"/>
              </w:rPr>
            </w:pPr>
          </w:p>
          <w:p>
            <w:pPr>
              <w:keepNext w:val="0"/>
              <w:keepLines w:val="0"/>
              <w:widowControl/>
              <w:suppressLineNumbers w:val="0"/>
              <w:spacing w:before="0" w:beforeAutospacing="0" w:after="0" w:afterAutospacing="0"/>
              <w:ind w:left="0" w:right="0" w:firstLine="422"/>
              <w:rPr>
                <w:rFonts w:hint="default"/>
                <w:sz w:val="21"/>
                <w:szCs w:val="21"/>
              </w:rPr>
            </w:pPr>
            <w:r>
              <w:rPr>
                <w:rFonts w:hint="eastAsia" w:cs="Times New Roman"/>
                <w:b/>
                <w:kern w:val="44"/>
                <w:sz w:val="21"/>
                <w:szCs w:val="21"/>
              </w:rPr>
              <w:t>2</w:t>
            </w:r>
            <w:r>
              <w:rPr>
                <w:rFonts w:hint="default" w:cs="Times New Roman"/>
                <w:b/>
                <w:kern w:val="44"/>
                <w:sz w:val="21"/>
                <w:szCs w:val="21"/>
              </w:rPr>
              <w:t>.</w:t>
            </w:r>
            <w:r>
              <w:rPr>
                <w:rFonts w:hint="eastAsia" w:cs="Times New Roman"/>
                <w:b/>
                <w:kern w:val="44"/>
                <w:sz w:val="21"/>
                <w:szCs w:val="21"/>
              </w:rPr>
              <w:t>3</w:t>
            </w:r>
            <w:r>
              <w:rPr>
                <w:rFonts w:hint="default" w:cs="Times New Roman"/>
                <w:b/>
                <w:kern w:val="44"/>
                <w:sz w:val="21"/>
                <w:szCs w:val="21"/>
              </w:rPr>
              <w:t>.</w:t>
            </w:r>
            <w:r>
              <w:rPr>
                <w:rFonts w:hint="eastAsia" w:cs="Times New Roman"/>
                <w:b/>
                <w:kern w:val="44"/>
                <w:sz w:val="21"/>
                <w:szCs w:val="21"/>
              </w:rPr>
              <w:t>2水平衡</w:t>
            </w:r>
            <w:r>
              <w:rPr>
                <w:rFonts w:hint="default"/>
                <w:sz w:val="21"/>
                <w:szCs w:val="21"/>
              </w:rPr>
              <w:t xml:space="preserve"> </w:t>
            </w:r>
          </w:p>
          <w:p>
            <w:pPr>
              <w:pStyle w:val="15"/>
              <w:keepNext w:val="0"/>
              <w:keepLines w:val="0"/>
              <w:widowControl/>
              <w:suppressLineNumbers w:val="0"/>
              <w:spacing w:before="0" w:beforeAutospacing="0" w:afterAutospacing="0"/>
              <w:ind w:left="0" w:right="0" w:firstLine="420"/>
              <w:rPr>
                <w:rFonts w:hint="default"/>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object>
                <v:shape id="_x0000_i1026" o:spt="75" type="#_x0000_t75" style="height:172.8pt;width:415.2pt;" o:ole="t" filled="f" o:preferrelative="t" stroked="f" coordsize="21600,21600">
                  <v:path/>
                  <v:fill on="f" focussize="0,0"/>
                  <v:stroke on="f" joinstyle="miter"/>
                  <v:imagedata r:id="rId28" o:title=""/>
                  <o:lock v:ext="edit" aspectratio="f"/>
                  <w10:wrap type="none"/>
                  <w10:anchorlock/>
                </v:shape>
                <o:OLEObject Type="Embed" ProgID="Visio.Drawing.11" ShapeID="_x0000_i1026" DrawAspect="Content" ObjectID="_1468075727" r:id="rId27">
                  <o:LockedField>false</o:LockedField>
                </o:OLEObject>
              </w:object>
            </w:r>
            <w:r>
              <w:rPr>
                <w:rFonts w:hint="eastAsia"/>
                <w:color w:val="auto"/>
                <w:sz w:val="21"/>
                <w:szCs w:val="21"/>
              </w:rPr>
              <w:t>图</w:t>
            </w:r>
            <w:r>
              <w:rPr>
                <w:rFonts w:hint="default"/>
                <w:color w:val="auto"/>
                <w:sz w:val="21"/>
                <w:szCs w:val="21"/>
              </w:rPr>
              <w:t>2-</w:t>
            </w:r>
            <w:r>
              <w:rPr>
                <w:rFonts w:hint="eastAsia"/>
                <w:color w:val="auto"/>
                <w:sz w:val="21"/>
                <w:szCs w:val="21"/>
              </w:rPr>
              <w:t>4  水平衡图</w:t>
            </w:r>
          </w:p>
          <w:p>
            <w:pPr>
              <w:keepNext w:val="0"/>
              <w:keepLines w:val="0"/>
              <w:widowControl w:val="0"/>
              <w:suppressLineNumbers w:val="0"/>
              <w:spacing w:before="0" w:beforeAutospacing="0" w:after="0" w:afterAutospacing="0"/>
              <w:ind w:left="0" w:right="0" w:firstLine="422"/>
              <w:jc w:val="center"/>
              <w:rPr>
                <w:rFonts w:hint="default" w:cs="Times New Roman"/>
                <w:b/>
                <w:kern w:val="2"/>
                <w:sz w:val="21"/>
                <w:szCs w:val="21"/>
              </w:rPr>
            </w:pPr>
          </w:p>
          <w:p>
            <w:pPr>
              <w:keepNext w:val="0"/>
              <w:keepLines w:val="0"/>
              <w:widowControl w:val="0"/>
              <w:suppressLineNumbers w:val="0"/>
              <w:spacing w:before="0" w:beforeAutospacing="0" w:after="0" w:afterAutospacing="0"/>
              <w:ind w:left="0" w:right="0" w:firstLine="420"/>
              <w:jc w:val="both"/>
              <w:rPr>
                <w:rFonts w:hint="default" w:cs="Times New Roman"/>
                <w:bCs/>
                <w:iCs/>
                <w:kern w:val="2"/>
                <w:sz w:val="21"/>
                <w:szCs w:val="21"/>
              </w:rPr>
            </w:pPr>
          </w:p>
          <w:p>
            <w:pPr>
              <w:keepNext w:val="0"/>
              <w:keepLines w:val="0"/>
              <w:widowControl w:val="0"/>
              <w:suppressLineNumbers w:val="0"/>
              <w:spacing w:before="0" w:beforeAutospacing="0" w:after="0" w:afterAutospacing="0"/>
              <w:ind w:left="0" w:right="0" w:firstLine="0" w:firstLineChars="0"/>
              <w:jc w:val="both"/>
              <w:rPr>
                <w:rFonts w:hint="default" w:ascii="宋体" w:hAnsi="宋体" w:cs="宋体"/>
                <w:bCs/>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823" w:type="dxa"/>
            <w:tcBorders>
              <w:top w:val="single" w:color="auto" w:sz="4" w:space="0"/>
              <w:left w:val="single" w:color="auto" w:sz="8" w:space="0"/>
              <w:bottom w:val="single" w:color="auto" w:sz="8" w:space="0"/>
              <w:right w:val="single" w:color="auto" w:sz="4" w:space="0"/>
            </w:tcBorders>
            <w:shd w:val="clear" w:color="auto" w:fill="auto"/>
            <w:vAlign w:val="center"/>
          </w:tcPr>
          <w:p>
            <w:pPr>
              <w:pStyle w:val="22"/>
              <w:keepNext w:val="0"/>
              <w:keepLines w:val="0"/>
              <w:widowControl/>
              <w:suppressLineNumbers w:val="0"/>
              <w:spacing w:before="0" w:beforeAutospacing="0" w:after="0" w:afterAutospacing="0"/>
              <w:ind w:left="0" w:right="0" w:firstLine="0" w:firstLineChars="0"/>
              <w:jc w:val="center"/>
              <w:rPr>
                <w:rFonts w:hint="default" w:cs="宋体"/>
                <w:sz w:val="21"/>
                <w:szCs w:val="21"/>
              </w:rPr>
            </w:pPr>
            <w:r>
              <w:rPr>
                <w:rFonts w:hint="default" w:cs="宋体"/>
                <w:bCs/>
                <w:kern w:val="2"/>
                <w:sz w:val="21"/>
                <w:szCs w:val="21"/>
              </w:rPr>
              <w:t>与项目有关的原有环境污染问题</w:t>
            </w:r>
          </w:p>
        </w:tc>
        <w:tc>
          <w:tcPr>
            <w:tcW w:w="8161" w:type="dxa"/>
            <w:tcBorders>
              <w:top w:val="single" w:color="auto" w:sz="4" w:space="0"/>
              <w:left w:val="single" w:color="auto" w:sz="4" w:space="0"/>
              <w:bottom w:val="single" w:color="auto" w:sz="8" w:space="0"/>
              <w:right w:val="single" w:color="auto" w:sz="8" w:space="0"/>
            </w:tcBorders>
            <w:shd w:val="clear" w:color="auto" w:fill="auto"/>
          </w:tcPr>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无</w:t>
            </w:r>
          </w:p>
        </w:tc>
      </w:tr>
    </w:tbl>
    <w:p>
      <w:pPr>
        <w:ind w:firstLine="420"/>
        <w:rPr>
          <w:rFonts w:ascii="黑体" w:hAnsi="宋体" w:eastAsia="黑体" w:cs="Times New Roman"/>
          <w:snapToGrid w:val="0"/>
          <w:sz w:val="21"/>
          <w:szCs w:val="21"/>
          <w:lang w:bidi="ar"/>
        </w:rPr>
        <w:sectPr>
          <w:footerReference r:id="rId13" w:type="default"/>
          <w:pgSz w:w="11906" w:h="16838"/>
          <w:pgMar w:top="1702" w:right="1531" w:bottom="1702" w:left="1531" w:header="851" w:footer="851" w:gutter="0"/>
          <w:pgNumType w:fmt="decimal"/>
          <w:cols w:space="425" w:num="1"/>
          <w:docGrid w:type="lines" w:linePitch="312" w:charSpace="0"/>
        </w:sectPr>
      </w:pPr>
    </w:p>
    <w:p>
      <w:pPr>
        <w:pStyle w:val="8"/>
        <w:ind w:firstLine="422"/>
        <w:rPr>
          <w:rFonts w:ascii="黑体" w:eastAsia="黑体" w:cs="黑体"/>
          <w:sz w:val="21"/>
          <w:szCs w:val="21"/>
        </w:rPr>
      </w:pPr>
      <w:bookmarkStart w:id="14" w:name="_Toc31072"/>
      <w:r>
        <w:rPr>
          <w:rFonts w:ascii="黑体" w:eastAsia="黑体" w:cs="黑体"/>
          <w:snapToGrid w:val="0"/>
          <w:sz w:val="21"/>
          <w:szCs w:val="21"/>
        </w:rPr>
        <w:t>三、区域</w:t>
      </w:r>
      <w:r>
        <w:t>环境</w:t>
      </w:r>
      <w:r>
        <w:rPr>
          <w:rFonts w:ascii="黑体" w:eastAsia="黑体" w:cs="黑体"/>
          <w:snapToGrid w:val="0"/>
          <w:sz w:val="21"/>
          <w:szCs w:val="21"/>
        </w:rPr>
        <w:t>质量现状、环境保护目标及评价标准</w:t>
      </w:r>
      <w:bookmarkEnd w:id="14"/>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00"/>
        <w:gridCol w:w="819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2906" w:hRule="atLeast"/>
          <w:jc w:val="center"/>
        </w:trPr>
        <w:tc>
          <w:tcPr>
            <w:tcW w:w="800" w:type="dxa"/>
            <w:tcBorders>
              <w:top w:val="single" w:color="auto" w:sz="8" w:space="0"/>
              <w:left w:val="single" w:color="auto" w:sz="8"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区域</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环境</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质量</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现状</w:t>
            </w:r>
          </w:p>
        </w:tc>
        <w:tc>
          <w:tcPr>
            <w:tcW w:w="8190" w:type="dxa"/>
            <w:tcBorders>
              <w:top w:val="single" w:color="auto" w:sz="8" w:space="0"/>
              <w:left w:val="single" w:color="auto" w:sz="4" w:space="0"/>
              <w:bottom w:val="single" w:color="auto" w:sz="4" w:space="0"/>
              <w:right w:val="single" w:color="auto" w:sz="8" w:space="0"/>
            </w:tcBorders>
            <w:shd w:val="clear" w:color="auto" w:fill="auto"/>
            <w:vAlign w:val="center"/>
          </w:tcPr>
          <w:p>
            <w:pPr>
              <w:pStyle w:val="47"/>
              <w:keepNext w:val="0"/>
              <w:keepLines w:val="0"/>
              <w:suppressLineNumbers w:val="0"/>
              <w:spacing w:before="0" w:beforeAutospacing="0" w:after="0" w:afterAutospacing="0"/>
              <w:ind w:left="0" w:right="0" w:firstLine="422"/>
              <w:rPr>
                <w:rFonts w:hint="default" w:cs="Times New Roman"/>
                <w:kern w:val="2"/>
                <w:sz w:val="21"/>
                <w:szCs w:val="21"/>
              </w:rPr>
            </w:pPr>
            <w:r>
              <w:rPr>
                <w:rFonts w:hint="eastAsia" w:cs="Times New Roman"/>
                <w:kern w:val="2"/>
                <w:sz w:val="21"/>
                <w:szCs w:val="21"/>
              </w:rPr>
              <w:t>3.1</w:t>
            </w:r>
            <w:r>
              <w:rPr>
                <w:rFonts w:hint="default" w:cs="Times New Roman"/>
                <w:kern w:val="2"/>
                <w:sz w:val="21"/>
                <w:szCs w:val="21"/>
              </w:rPr>
              <w:t>环境空气质量现状</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hAnsi="宋体"/>
                <w:sz w:val="21"/>
                <w:szCs w:val="21"/>
              </w:rPr>
              <w:t>本项目大气基本污染物环境质量现状数据采用岳阳市生态环境局公开发布的岳阳经济技术开发区2019年的环境空气质量现状数据进行评价。2019年岳阳经济技术开发区环境空气质量均值统计结果</w:t>
            </w:r>
            <w:r>
              <w:rPr>
                <w:rFonts w:hint="default"/>
                <w:sz w:val="21"/>
                <w:szCs w:val="21"/>
              </w:rPr>
              <w:t>见表3-</w:t>
            </w:r>
            <w:r>
              <w:rPr>
                <w:rFonts w:hint="eastAsia"/>
                <w:sz w:val="21"/>
                <w:szCs w:val="21"/>
              </w:rPr>
              <w:t>1</w:t>
            </w:r>
            <w:r>
              <w:rPr>
                <w:rFonts w:hint="default"/>
                <w:sz w:val="21"/>
                <w:szCs w:val="21"/>
              </w:rPr>
              <w:t>。</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表3-1  2019年岳阳经济技术开发区环境空气质量均值统计表</w:t>
            </w:r>
          </w:p>
          <w:tbl>
            <w:tblPr>
              <w:tblStyle w:val="25"/>
              <w:tblW w:w="79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0"/>
              <w:gridCol w:w="2895"/>
              <w:gridCol w:w="810"/>
              <w:gridCol w:w="868"/>
              <w:gridCol w:w="1003"/>
              <w:gridCol w:w="777"/>
              <w:gridCol w:w="7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3"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污染物</w:t>
                  </w:r>
                </w:p>
              </w:tc>
              <w:tc>
                <w:tcPr>
                  <w:tcW w:w="2895"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年评价指标</w:t>
                  </w: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现状浓度/</w:t>
                  </w:r>
                </w:p>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μg/m</w:t>
                  </w:r>
                  <w:r>
                    <w:rPr>
                      <w:rFonts w:hint="default" w:ascii="Times New Roman" w:hAnsi="Times New Roman"/>
                      <w:vertAlign w:val="superscript"/>
                    </w:rPr>
                    <w:t>3</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标准浓度/</w:t>
                  </w:r>
                </w:p>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μg/m</w:t>
                  </w:r>
                  <w:r>
                    <w:rPr>
                      <w:rFonts w:hint="default" w:ascii="Times New Roman" w:hAnsi="Times New Roman"/>
                      <w:vertAlign w:val="superscript"/>
                    </w:rPr>
                    <w:t>3</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最大浓度占标率/％</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超标频率/%</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PM</w:t>
                  </w:r>
                  <w:r>
                    <w:rPr>
                      <w:rFonts w:hint="default" w:ascii="Times New Roman" w:hAnsi="Times New Roman"/>
                      <w:vertAlign w:val="subscript"/>
                    </w:rPr>
                    <w:t>2.5</w:t>
                  </w:r>
                </w:p>
              </w:tc>
              <w:tc>
                <w:tcPr>
                  <w:tcW w:w="2895" w:type="dxa"/>
                  <w:vMerge w:val="restart"/>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年平均质量浓度</w:t>
                  </w: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38</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35</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109</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8.6</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不达标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8"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PM</w:t>
                  </w:r>
                  <w:r>
                    <w:rPr>
                      <w:rFonts w:hint="default" w:ascii="Times New Roman" w:hAnsi="Times New Roman"/>
                      <w:vertAlign w:val="subscript"/>
                    </w:rPr>
                    <w:t>10</w:t>
                  </w:r>
                </w:p>
              </w:tc>
              <w:tc>
                <w:tcPr>
                  <w:tcW w:w="2895" w:type="dxa"/>
                  <w:vMerge w:val="continue"/>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64</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70</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91.4</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0</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8"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SO</w:t>
                  </w:r>
                  <w:r>
                    <w:rPr>
                      <w:rFonts w:hint="default" w:ascii="Times New Roman" w:hAnsi="Times New Roman"/>
                      <w:vertAlign w:val="subscript"/>
                    </w:rPr>
                    <w:t>2</w:t>
                  </w:r>
                </w:p>
              </w:tc>
              <w:tc>
                <w:tcPr>
                  <w:tcW w:w="2895" w:type="dxa"/>
                  <w:vMerge w:val="continue"/>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14</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60</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23.33</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0</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8"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NO</w:t>
                  </w:r>
                  <w:r>
                    <w:rPr>
                      <w:rFonts w:hint="default" w:ascii="Times New Roman" w:hAnsi="Times New Roman"/>
                      <w:vertAlign w:val="subscript"/>
                    </w:rPr>
                    <w:t>2</w:t>
                  </w:r>
                </w:p>
              </w:tc>
              <w:tc>
                <w:tcPr>
                  <w:tcW w:w="2895" w:type="dxa"/>
                  <w:vMerge w:val="continue"/>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30</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40</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75</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0</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8"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CO</w:t>
                  </w:r>
                </w:p>
              </w:tc>
              <w:tc>
                <w:tcPr>
                  <w:tcW w:w="2895"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95 百分位数日平均质量浓度</w:t>
                  </w: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1400</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4000</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35</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0</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16" w:hRule="atLeast"/>
                <w:jc w:val="center"/>
              </w:trPr>
              <w:tc>
                <w:tcPr>
                  <w:tcW w:w="85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O</w:t>
                  </w:r>
                  <w:r>
                    <w:rPr>
                      <w:rFonts w:hint="default" w:ascii="Times New Roman" w:hAnsi="Times New Roman"/>
                      <w:vertAlign w:val="subscript"/>
                    </w:rPr>
                    <w:t>3</w:t>
                  </w:r>
                </w:p>
              </w:tc>
              <w:tc>
                <w:tcPr>
                  <w:tcW w:w="2895"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90 百分位数8h平均质量浓度</w:t>
                  </w:r>
                </w:p>
              </w:tc>
              <w:tc>
                <w:tcPr>
                  <w:tcW w:w="810"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162</w:t>
                  </w:r>
                </w:p>
              </w:tc>
              <w:tc>
                <w:tcPr>
                  <w:tcW w:w="868"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160</w:t>
                  </w:r>
                </w:p>
              </w:tc>
              <w:tc>
                <w:tcPr>
                  <w:tcW w:w="100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101.25</w:t>
                  </w:r>
                </w:p>
              </w:tc>
              <w:tc>
                <w:tcPr>
                  <w:tcW w:w="777"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1.25</w:t>
                  </w:r>
                </w:p>
              </w:tc>
              <w:tc>
                <w:tcPr>
                  <w:tcW w:w="753" w:type="dxa"/>
                  <w:vAlign w:val="center"/>
                </w:tcPr>
                <w:p>
                  <w:pPr>
                    <w:pStyle w:val="56"/>
                    <w:keepNext w:val="0"/>
                    <w:keepLines w:val="0"/>
                    <w:suppressLineNumbers w:val="0"/>
                    <w:spacing w:before="31" w:beforeAutospacing="0" w:afterAutospacing="0" w:line="240" w:lineRule="auto"/>
                    <w:ind w:left="0" w:right="0"/>
                    <w:rPr>
                      <w:rFonts w:hint="default" w:ascii="Times New Roman" w:hAnsi="Times New Roman"/>
                    </w:rPr>
                  </w:pPr>
                  <w:r>
                    <w:rPr>
                      <w:rFonts w:hint="default" w:ascii="Times New Roman" w:hAnsi="Times New Roman"/>
                    </w:rPr>
                    <w:t>不达标</w:t>
                  </w:r>
                </w:p>
              </w:tc>
            </w:tr>
          </w:tbl>
          <w:p>
            <w:pPr>
              <w:keepNext w:val="0"/>
              <w:keepLines w:val="0"/>
              <w:widowControl/>
              <w:suppressLineNumbers w:val="0"/>
              <w:spacing w:before="0" w:beforeAutospacing="0" w:after="0" w:afterAutospacing="0"/>
              <w:ind w:left="0" w:right="0" w:firstLine="420"/>
              <w:rPr>
                <w:rFonts w:hint="default" w:hAnsi="宋体"/>
                <w:sz w:val="21"/>
                <w:szCs w:val="21"/>
              </w:rPr>
            </w:pPr>
            <w:r>
              <w:rPr>
                <w:rFonts w:hint="eastAsia" w:hAnsi="宋体"/>
                <w:sz w:val="21"/>
                <w:szCs w:val="21"/>
              </w:rPr>
              <w:t>根据2019年岳阳经济技术开发区环境空气质量均值统计结果可以看出：</w:t>
            </w:r>
          </w:p>
          <w:p>
            <w:pPr>
              <w:keepNext w:val="0"/>
              <w:keepLines w:val="0"/>
              <w:widowControl/>
              <w:suppressLineNumbers w:val="0"/>
              <w:spacing w:before="0" w:beforeAutospacing="0" w:after="0" w:afterAutospacing="0"/>
              <w:ind w:left="0" w:right="0" w:firstLine="420"/>
              <w:rPr>
                <w:rFonts w:hint="default" w:hAnsi="宋体"/>
                <w:sz w:val="21"/>
                <w:szCs w:val="21"/>
              </w:rPr>
            </w:pPr>
            <w:r>
              <w:rPr>
                <w:rFonts w:hint="eastAsia" w:hAnsi="宋体"/>
                <w:sz w:val="21"/>
                <w:szCs w:val="21"/>
              </w:rPr>
              <w:t>①评价区域SO</w:t>
            </w:r>
            <w:r>
              <w:rPr>
                <w:rFonts w:hint="eastAsia" w:hAnsi="宋体"/>
                <w:sz w:val="21"/>
                <w:szCs w:val="21"/>
                <w:vertAlign w:val="subscript"/>
              </w:rPr>
              <w:t>2</w:t>
            </w:r>
            <w:r>
              <w:rPr>
                <w:rFonts w:hint="eastAsia" w:hAnsi="宋体"/>
                <w:sz w:val="21"/>
                <w:szCs w:val="21"/>
              </w:rPr>
              <w:t>、NO</w:t>
            </w:r>
            <w:r>
              <w:rPr>
                <w:rFonts w:hint="eastAsia" w:hAnsi="宋体"/>
                <w:sz w:val="21"/>
                <w:szCs w:val="21"/>
                <w:vertAlign w:val="subscript"/>
              </w:rPr>
              <w:t>2</w:t>
            </w:r>
            <w:r>
              <w:rPr>
                <w:rFonts w:hint="eastAsia" w:hAnsi="宋体"/>
                <w:sz w:val="21"/>
                <w:szCs w:val="21"/>
              </w:rPr>
              <w:t>和PM</w:t>
            </w:r>
            <w:r>
              <w:rPr>
                <w:rFonts w:hint="eastAsia" w:hAnsi="宋体"/>
                <w:sz w:val="21"/>
                <w:szCs w:val="21"/>
                <w:vertAlign w:val="subscript"/>
              </w:rPr>
              <w:t>10</w:t>
            </w:r>
            <w:r>
              <w:rPr>
                <w:rFonts w:hint="eastAsia" w:hAnsi="宋体"/>
                <w:sz w:val="21"/>
                <w:szCs w:val="21"/>
              </w:rPr>
              <w:t>的年均浓度、CO的24小时平均第95百分位数均符合《环境空气质量标准》(GB3095-2012)二级标准及其修改单（生态环境部公告2018年第29号）要求。</w:t>
            </w:r>
          </w:p>
          <w:p>
            <w:pPr>
              <w:keepNext w:val="0"/>
              <w:keepLines w:val="0"/>
              <w:widowControl/>
              <w:suppressLineNumbers w:val="0"/>
              <w:spacing w:before="0" w:beforeAutospacing="0" w:after="0" w:afterAutospacing="0"/>
              <w:ind w:left="0" w:right="0" w:firstLine="420"/>
              <w:rPr>
                <w:rFonts w:hint="default" w:hAnsi="宋体"/>
                <w:sz w:val="21"/>
                <w:szCs w:val="21"/>
              </w:rPr>
            </w:pPr>
            <w:r>
              <w:rPr>
                <w:rFonts w:hint="eastAsia" w:hAnsi="宋体"/>
                <w:sz w:val="21"/>
                <w:szCs w:val="21"/>
              </w:rPr>
              <w:t>②评价区域PM</w:t>
            </w:r>
            <w:r>
              <w:rPr>
                <w:rFonts w:hint="eastAsia" w:hAnsi="宋体"/>
                <w:sz w:val="21"/>
                <w:szCs w:val="21"/>
                <w:vertAlign w:val="subscript"/>
              </w:rPr>
              <w:t>2.5</w:t>
            </w:r>
            <w:r>
              <w:rPr>
                <w:rFonts w:hint="eastAsia" w:hAnsi="宋体"/>
                <w:sz w:val="21"/>
                <w:szCs w:val="21"/>
              </w:rPr>
              <w:t>年均浓度和O</w:t>
            </w:r>
            <w:r>
              <w:rPr>
                <w:rFonts w:hint="eastAsia" w:hAnsi="宋体"/>
                <w:sz w:val="21"/>
                <w:szCs w:val="21"/>
                <w:vertAlign w:val="subscript"/>
              </w:rPr>
              <w:t>3</w:t>
            </w:r>
            <w:r>
              <w:rPr>
                <w:rFonts w:hint="eastAsia" w:hAnsi="宋体"/>
                <w:sz w:val="21"/>
                <w:szCs w:val="21"/>
              </w:rPr>
              <w:t>的最大8小时平均第90百分位数不符合《环境空气质量标准》(GB3095-2012)二级标准及其修改单（生态环境部公告2018年第29号）要求。</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《湖南省污染防治攻坚战三年行动计划(2018—2020年)》大气年度目标：2018年，全省PM</w:t>
            </w:r>
            <w:r>
              <w:rPr>
                <w:rFonts w:hint="eastAsia"/>
                <w:sz w:val="21"/>
                <w:szCs w:val="21"/>
                <w:vertAlign w:val="subscript"/>
              </w:rPr>
              <w:t>2.5</w:t>
            </w:r>
            <w:r>
              <w:rPr>
                <w:rFonts w:hint="eastAsia"/>
                <w:sz w:val="21"/>
                <w:szCs w:val="21"/>
              </w:rPr>
              <w:t>年均浓度下降到44μg /m</w:t>
            </w:r>
            <w:r>
              <w:rPr>
                <w:rFonts w:hint="eastAsia"/>
                <w:sz w:val="21"/>
                <w:szCs w:val="21"/>
                <w:vertAlign w:val="superscript"/>
              </w:rPr>
              <w:t>3</w:t>
            </w:r>
            <w:r>
              <w:rPr>
                <w:rFonts w:hint="eastAsia"/>
                <w:sz w:val="21"/>
                <w:szCs w:val="21"/>
              </w:rPr>
              <w:t>以下，城市环境空气质量优良率达到82%以上；2019年，全省PM</w:t>
            </w:r>
            <w:r>
              <w:rPr>
                <w:rFonts w:hint="eastAsia"/>
                <w:sz w:val="21"/>
                <w:szCs w:val="21"/>
                <w:vertAlign w:val="subscript"/>
              </w:rPr>
              <w:t>2.5</w:t>
            </w:r>
            <w:r>
              <w:rPr>
                <w:rFonts w:hint="eastAsia"/>
                <w:sz w:val="21"/>
                <w:szCs w:val="21"/>
              </w:rPr>
              <w:t>年均浓度下降到42μg/m</w:t>
            </w:r>
            <w:r>
              <w:rPr>
                <w:rFonts w:hint="eastAsia"/>
                <w:sz w:val="21"/>
                <w:szCs w:val="21"/>
                <w:vertAlign w:val="superscript"/>
              </w:rPr>
              <w:t>3</w:t>
            </w:r>
            <w:r>
              <w:rPr>
                <w:rFonts w:hint="eastAsia"/>
                <w:sz w:val="21"/>
                <w:szCs w:val="21"/>
              </w:rPr>
              <w:t>以下，城市环境空气质量优良率达到82.5%以上；2020年，全省PM</w:t>
            </w:r>
            <w:r>
              <w:rPr>
                <w:rFonts w:hint="eastAsia"/>
                <w:sz w:val="21"/>
                <w:szCs w:val="21"/>
                <w:vertAlign w:val="subscript"/>
              </w:rPr>
              <w:t>2.5</w:t>
            </w:r>
            <w:r>
              <w:rPr>
                <w:rFonts w:hint="eastAsia"/>
                <w:sz w:val="21"/>
                <w:szCs w:val="21"/>
              </w:rPr>
              <w:t>年均浓度下降到40μg /m</w:t>
            </w:r>
            <w:r>
              <w:rPr>
                <w:rFonts w:hint="eastAsia"/>
                <w:sz w:val="21"/>
                <w:szCs w:val="21"/>
                <w:vertAlign w:val="superscript"/>
              </w:rPr>
              <w:t>3</w:t>
            </w:r>
            <w:r>
              <w:rPr>
                <w:rFonts w:hint="eastAsia"/>
                <w:sz w:val="21"/>
                <w:szCs w:val="21"/>
              </w:rPr>
              <w:t>以下，城市环境空气质量优良率达到83%以上。根据2019年岳阳经济技术开发区环境空气质量均值统计表可知，2019年月岳阳经济技术开发区环境空气PM</w:t>
            </w:r>
            <w:r>
              <w:rPr>
                <w:rFonts w:hint="eastAsia"/>
                <w:sz w:val="21"/>
                <w:szCs w:val="21"/>
                <w:vertAlign w:val="subscript"/>
              </w:rPr>
              <w:t>2.5</w:t>
            </w:r>
            <w:r>
              <w:rPr>
                <w:rFonts w:hint="eastAsia"/>
                <w:sz w:val="21"/>
                <w:szCs w:val="21"/>
              </w:rPr>
              <w:t>年均浓度为38μg /m</w:t>
            </w:r>
            <w:r>
              <w:rPr>
                <w:rFonts w:hint="eastAsia"/>
                <w:sz w:val="21"/>
                <w:szCs w:val="21"/>
                <w:vertAlign w:val="superscript"/>
              </w:rPr>
              <w:t>3</w:t>
            </w:r>
            <w:r>
              <w:rPr>
                <w:rFonts w:hint="eastAsia"/>
                <w:sz w:val="21"/>
                <w:szCs w:val="21"/>
              </w:rPr>
              <w:t>，达到了《湖南省污染防治攻坚战三年行动计划(2018—2020年)》大气年度目标，表明环境空气在改善。</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本项目收集了湖南中富杭萧建筑科技股份有限公司《中富杭萧装配式建筑科技产业园项目一期工程（年产2.4万吨钢结构件）环境影响报告书》中委托湖南永蓝检测技术股份有限公司于 2020 年 1月 2 日至8 日对项目所在区域进行大气环境质量监测。中富杭萧装配式建筑科技产业园项目一期位于岳阳经济技术开发区木里港工业园，距离本项目约500m，引用监测点位G1引用项目厂址上风向、G2引用项目厂址下风向分别距离本项目约400m、1000m，与本项目排放污染物相关，且具有时效性，引用数据能满足导则要求。具体监测结果见下表。</w:t>
            </w:r>
          </w:p>
          <w:p>
            <w:pPr>
              <w:pStyle w:val="49"/>
              <w:keepNext w:val="0"/>
              <w:keepLines w:val="0"/>
              <w:widowControl/>
              <w:suppressLineNumbers w:val="0"/>
              <w:spacing w:before="0" w:beforeAutospacing="0" w:after="0" w:afterAutospacing="0"/>
              <w:ind w:left="0" w:right="0"/>
              <w:rPr>
                <w:rFonts w:hint="default"/>
                <w:color w:val="auto"/>
                <w:sz w:val="21"/>
                <w:szCs w:val="21"/>
                <w:u w:val="single"/>
              </w:rPr>
            </w:pPr>
            <w:r>
              <w:rPr>
                <w:rFonts w:hint="default"/>
                <w:color w:val="auto"/>
                <w:sz w:val="21"/>
                <w:szCs w:val="21"/>
                <w:u w:val="single"/>
              </w:rPr>
              <w:t>表3-</w:t>
            </w:r>
            <w:r>
              <w:rPr>
                <w:rFonts w:hint="eastAsia"/>
                <w:color w:val="auto"/>
                <w:sz w:val="21"/>
                <w:szCs w:val="21"/>
                <w:u w:val="single"/>
              </w:rPr>
              <w:t>2</w:t>
            </w:r>
            <w:r>
              <w:rPr>
                <w:rFonts w:hint="default"/>
                <w:color w:val="auto"/>
                <w:sz w:val="21"/>
                <w:szCs w:val="21"/>
                <w:u w:val="single"/>
              </w:rPr>
              <w:t xml:space="preserve">  其他污染物</w:t>
            </w:r>
            <w:r>
              <w:rPr>
                <w:rFonts w:hint="eastAsia"/>
                <w:color w:val="auto"/>
                <w:sz w:val="21"/>
                <w:szCs w:val="21"/>
              </w:rPr>
              <w:t>引用</w:t>
            </w:r>
            <w:r>
              <w:rPr>
                <w:rFonts w:hint="default"/>
                <w:color w:val="auto"/>
                <w:sz w:val="21"/>
                <w:szCs w:val="21"/>
                <w:u w:val="single"/>
              </w:rPr>
              <w:t>点位基本信息</w:t>
            </w:r>
          </w:p>
          <w:tbl>
            <w:tblPr>
              <w:tblStyle w:val="25"/>
              <w:tblW w:w="8365" w:type="dxa"/>
              <w:tblInd w:w="8"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909"/>
              <w:gridCol w:w="946"/>
              <w:gridCol w:w="825"/>
              <w:gridCol w:w="975"/>
              <w:gridCol w:w="960"/>
              <w:gridCol w:w="1004"/>
              <w:gridCol w:w="1181"/>
              <w:gridCol w:w="689"/>
              <w:gridCol w:w="450"/>
              <w:gridCol w:w="426"/>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cantSplit/>
                <w:trHeight w:val="263" w:hRule="atLeast"/>
              </w:trPr>
              <w:tc>
                <w:tcPr>
                  <w:tcW w:w="909"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监测点名称</w:t>
                  </w:r>
                </w:p>
              </w:tc>
              <w:tc>
                <w:tcPr>
                  <w:tcW w:w="1771" w:type="dxa"/>
                  <w:gridSpan w:val="2"/>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监测点坐标</w:t>
                  </w:r>
                </w:p>
              </w:tc>
              <w:tc>
                <w:tcPr>
                  <w:tcW w:w="975"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监测因子</w:t>
                  </w:r>
                </w:p>
              </w:tc>
              <w:tc>
                <w:tcPr>
                  <w:tcW w:w="960"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监测时段</w:t>
                  </w:r>
                </w:p>
              </w:tc>
              <w:tc>
                <w:tcPr>
                  <w:tcW w:w="1004"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评价标准</w:t>
                  </w:r>
                  <w:r>
                    <w:rPr>
                      <w:rFonts w:hint="default"/>
                      <w:szCs w:val="21"/>
                    </w:rPr>
                    <w:t>（μg/m</w:t>
                  </w:r>
                  <w:r>
                    <w:rPr>
                      <w:rFonts w:hint="default"/>
                      <w:szCs w:val="21"/>
                      <w:vertAlign w:val="superscript"/>
                    </w:rPr>
                    <w:t>3</w:t>
                  </w:r>
                  <w:r>
                    <w:rPr>
                      <w:rFonts w:hint="default"/>
                      <w:szCs w:val="21"/>
                    </w:rPr>
                    <w:t>）</w:t>
                  </w:r>
                </w:p>
              </w:tc>
              <w:tc>
                <w:tcPr>
                  <w:tcW w:w="1181"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检测浓度范围</w:t>
                  </w:r>
                  <w:r>
                    <w:rPr>
                      <w:rFonts w:hint="default"/>
                      <w:szCs w:val="21"/>
                    </w:rPr>
                    <w:t>（μg/m</w:t>
                  </w:r>
                  <w:r>
                    <w:rPr>
                      <w:rFonts w:hint="default"/>
                      <w:szCs w:val="21"/>
                      <w:vertAlign w:val="superscript"/>
                    </w:rPr>
                    <w:t>3</w:t>
                  </w:r>
                  <w:r>
                    <w:rPr>
                      <w:rFonts w:hint="default"/>
                      <w:szCs w:val="21"/>
                    </w:rPr>
                    <w:t>）</w:t>
                  </w:r>
                </w:p>
              </w:tc>
              <w:tc>
                <w:tcPr>
                  <w:tcW w:w="689"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最大浓度占标率/%</w:t>
                  </w:r>
                </w:p>
              </w:tc>
              <w:tc>
                <w:tcPr>
                  <w:tcW w:w="450"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超标率/%</w:t>
                  </w:r>
                </w:p>
              </w:tc>
              <w:tc>
                <w:tcPr>
                  <w:tcW w:w="426" w:type="dxa"/>
                  <w:vMerge w:val="restar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达标情况</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813" w:hRule="atLeast"/>
              </w:trPr>
              <w:tc>
                <w:tcPr>
                  <w:tcW w:w="909"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946"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经度</w:t>
                  </w:r>
                </w:p>
              </w:tc>
              <w:tc>
                <w:tcPr>
                  <w:tcW w:w="825"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纬度</w:t>
                  </w:r>
                </w:p>
              </w:tc>
              <w:tc>
                <w:tcPr>
                  <w:tcW w:w="975"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960"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1004"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1181"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689"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450"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c>
                <w:tcPr>
                  <w:tcW w:w="426" w:type="dxa"/>
                  <w:vMerge w:val="continue"/>
                  <w:vAlign w:val="center"/>
                </w:tcPr>
                <w:p>
                  <w:pPr>
                    <w:pStyle w:val="32"/>
                    <w:keepNext w:val="0"/>
                    <w:keepLines w:val="0"/>
                    <w:widowControl/>
                    <w:suppressLineNumbers w:val="0"/>
                    <w:spacing w:before="0" w:beforeAutospacing="0" w:afterAutospacing="0"/>
                    <w:ind w:left="0" w:right="0"/>
                    <w:rPr>
                      <w:rFonts w:hint="default"/>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cantSplit/>
                <w:trHeight w:val="1088" w:hRule="atLeast"/>
              </w:trPr>
              <w:tc>
                <w:tcPr>
                  <w:tcW w:w="909"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G1引用项目厂址上风向</w:t>
                  </w:r>
                </w:p>
              </w:tc>
              <w:tc>
                <w:tcPr>
                  <w:tcW w:w="946"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113.189187°</w:t>
                  </w:r>
                </w:p>
              </w:tc>
              <w:tc>
                <w:tcPr>
                  <w:tcW w:w="825"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29.326272°</w:t>
                  </w:r>
                </w:p>
              </w:tc>
              <w:tc>
                <w:tcPr>
                  <w:tcW w:w="975" w:type="dxa"/>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TVOC</w:t>
                  </w:r>
                </w:p>
              </w:tc>
              <w:tc>
                <w:tcPr>
                  <w:tcW w:w="960" w:type="dxa"/>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8小时平均值</w:t>
                  </w:r>
                </w:p>
              </w:tc>
              <w:tc>
                <w:tcPr>
                  <w:tcW w:w="1004"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600</w:t>
                  </w:r>
                </w:p>
              </w:tc>
              <w:tc>
                <w:tcPr>
                  <w:tcW w:w="1181"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42.5~86.1</w:t>
                  </w:r>
                </w:p>
              </w:tc>
              <w:tc>
                <w:tcPr>
                  <w:tcW w:w="689"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14.35</w:t>
                  </w:r>
                </w:p>
              </w:tc>
              <w:tc>
                <w:tcPr>
                  <w:tcW w:w="450"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w:t>
                  </w:r>
                </w:p>
              </w:tc>
              <w:tc>
                <w:tcPr>
                  <w:tcW w:w="426"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达标</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cantSplit/>
                <w:trHeight w:val="1088" w:hRule="atLeast"/>
              </w:trPr>
              <w:tc>
                <w:tcPr>
                  <w:tcW w:w="909"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G2引用项目厂址下风向</w:t>
                  </w:r>
                </w:p>
              </w:tc>
              <w:tc>
                <w:tcPr>
                  <w:tcW w:w="946"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113.187955°</w:t>
                  </w:r>
                </w:p>
              </w:tc>
              <w:tc>
                <w:tcPr>
                  <w:tcW w:w="825"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29.327669°</w:t>
                  </w:r>
                </w:p>
              </w:tc>
              <w:tc>
                <w:tcPr>
                  <w:tcW w:w="975" w:type="dxa"/>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TVOC</w:t>
                  </w:r>
                </w:p>
              </w:tc>
              <w:tc>
                <w:tcPr>
                  <w:tcW w:w="960" w:type="dxa"/>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8小时平均值</w:t>
                  </w:r>
                </w:p>
              </w:tc>
              <w:tc>
                <w:tcPr>
                  <w:tcW w:w="1004"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600</w:t>
                  </w:r>
                </w:p>
              </w:tc>
              <w:tc>
                <w:tcPr>
                  <w:tcW w:w="1181"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54.5~99.7</w:t>
                  </w:r>
                </w:p>
              </w:tc>
              <w:tc>
                <w:tcPr>
                  <w:tcW w:w="689"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16.61</w:t>
                  </w:r>
                </w:p>
              </w:tc>
              <w:tc>
                <w:tcPr>
                  <w:tcW w:w="450"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w:t>
                  </w:r>
                </w:p>
              </w:tc>
              <w:tc>
                <w:tcPr>
                  <w:tcW w:w="426" w:type="dxa"/>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达标</w:t>
                  </w:r>
                </w:p>
              </w:tc>
            </w:tr>
          </w:tbl>
          <w:p>
            <w:pPr>
              <w:pStyle w:val="15"/>
              <w:keepNext w:val="0"/>
              <w:keepLines w:val="0"/>
              <w:widowControl/>
              <w:suppressLineNumbers w:val="0"/>
              <w:spacing w:before="0" w:beforeAutospacing="0" w:afterAutospacing="0"/>
              <w:ind w:left="0" w:right="0" w:firstLine="420"/>
              <w:rPr>
                <w:rFonts w:hint="default"/>
                <w:sz w:val="21"/>
                <w:szCs w:val="21"/>
                <w:u w:val="single"/>
              </w:rPr>
            </w:pPr>
            <w:r>
              <w:rPr>
                <w:rFonts w:hint="eastAsia"/>
                <w:sz w:val="21"/>
                <w:szCs w:val="21"/>
                <w:u w:val="single"/>
              </w:rPr>
              <w:t>根据上表可知，项目区环境空气质量监测结果表明：本项目其他污染物挥发性有机物 TVOC 能满足《环境影响评价技术导则 大气环境》(HJ 2.2-2018)附录 D 浓度参考限值，区域挥发性有机物具有环境容量。</w:t>
            </w:r>
          </w:p>
          <w:p>
            <w:pPr>
              <w:keepNext w:val="0"/>
              <w:keepLines w:val="0"/>
              <w:widowControl/>
              <w:suppressLineNumbers w:val="0"/>
              <w:spacing w:before="0" w:beforeAutospacing="0" w:after="0" w:afterAutospacing="0"/>
              <w:ind w:left="0" w:right="0" w:firstLine="480"/>
              <w:rPr>
                <w:rFonts w:hint="default"/>
              </w:rPr>
            </w:pPr>
          </w:p>
          <w:p>
            <w:pPr>
              <w:pStyle w:val="47"/>
              <w:keepNext w:val="0"/>
              <w:keepLines w:val="0"/>
              <w:suppressLineNumbers w:val="0"/>
              <w:spacing w:before="0" w:beforeAutospacing="0" w:after="0" w:afterAutospacing="0"/>
              <w:ind w:left="0" w:right="0" w:firstLine="422"/>
              <w:rPr>
                <w:rFonts w:hint="default" w:cs="Times New Roman"/>
                <w:kern w:val="2"/>
                <w:sz w:val="21"/>
                <w:szCs w:val="21"/>
              </w:rPr>
            </w:pPr>
            <w:r>
              <w:rPr>
                <w:rFonts w:hint="eastAsia" w:cs="Times New Roman"/>
                <w:kern w:val="2"/>
                <w:sz w:val="21"/>
                <w:szCs w:val="21"/>
              </w:rPr>
              <w:t>3.2</w:t>
            </w:r>
            <w:r>
              <w:rPr>
                <w:rFonts w:hint="default" w:cs="Times New Roman"/>
                <w:kern w:val="2"/>
                <w:sz w:val="21"/>
                <w:szCs w:val="21"/>
              </w:rPr>
              <w:t>地面水环境质量现状</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项目纳污水体为</w:t>
            </w:r>
            <w:r>
              <w:rPr>
                <w:rFonts w:hint="eastAsia" w:cs="Times New Roman"/>
                <w:sz w:val="21"/>
                <w:szCs w:val="21"/>
              </w:rPr>
              <w:t>南湖</w:t>
            </w:r>
            <w:r>
              <w:rPr>
                <w:rFonts w:hint="default" w:cs="Times New Roman"/>
                <w:sz w:val="21"/>
                <w:szCs w:val="21"/>
              </w:rPr>
              <w:t>，引用201</w:t>
            </w:r>
            <w:r>
              <w:rPr>
                <w:rFonts w:hint="eastAsia" w:cs="Times New Roman"/>
                <w:sz w:val="21"/>
                <w:szCs w:val="21"/>
              </w:rPr>
              <w:t>9</w:t>
            </w:r>
            <w:r>
              <w:rPr>
                <w:rFonts w:hint="default" w:cs="Times New Roman"/>
                <w:sz w:val="21"/>
                <w:szCs w:val="21"/>
              </w:rPr>
              <w:t>年</w:t>
            </w:r>
            <w:r>
              <w:rPr>
                <w:rFonts w:hint="eastAsia" w:cs="Times New Roman"/>
                <w:sz w:val="21"/>
                <w:szCs w:val="21"/>
              </w:rPr>
              <w:t>南湖常规监测</w:t>
            </w:r>
            <w:r>
              <w:rPr>
                <w:rFonts w:hint="default" w:cs="Times New Roman"/>
                <w:sz w:val="21"/>
                <w:szCs w:val="21"/>
              </w:rPr>
              <w:t>断面的常规监测数据进行分析。</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表3-3  201</w:t>
            </w:r>
            <w:r>
              <w:rPr>
                <w:rFonts w:hint="eastAsia"/>
                <w:color w:val="auto"/>
                <w:sz w:val="21"/>
                <w:szCs w:val="21"/>
              </w:rPr>
              <w:t>9</w:t>
            </w:r>
            <w:r>
              <w:rPr>
                <w:rFonts w:hint="default"/>
                <w:color w:val="auto"/>
                <w:sz w:val="21"/>
                <w:szCs w:val="21"/>
              </w:rPr>
              <w:t>年</w:t>
            </w:r>
            <w:r>
              <w:rPr>
                <w:rFonts w:hint="eastAsia"/>
                <w:color w:val="auto"/>
                <w:sz w:val="21"/>
                <w:szCs w:val="21"/>
              </w:rPr>
              <w:t>南湖</w:t>
            </w:r>
            <w:r>
              <w:rPr>
                <w:rFonts w:hint="default"/>
                <w:color w:val="auto"/>
                <w:sz w:val="21"/>
                <w:szCs w:val="21"/>
              </w:rPr>
              <w:t>断面地表水检测结果</w:t>
            </w:r>
          </w:p>
          <w:tbl>
            <w:tblPr>
              <w:tblStyle w:val="25"/>
              <w:tblW w:w="493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08"/>
              <w:gridCol w:w="324"/>
              <w:gridCol w:w="324"/>
              <w:gridCol w:w="324"/>
              <w:gridCol w:w="324"/>
              <w:gridCol w:w="324"/>
              <w:gridCol w:w="324"/>
              <w:gridCol w:w="324"/>
              <w:gridCol w:w="383"/>
              <w:gridCol w:w="331"/>
              <w:gridCol w:w="324"/>
              <w:gridCol w:w="383"/>
              <w:gridCol w:w="383"/>
              <w:gridCol w:w="434"/>
              <w:gridCol w:w="383"/>
              <w:gridCol w:w="332"/>
              <w:gridCol w:w="332"/>
              <w:gridCol w:w="332"/>
              <w:gridCol w:w="384"/>
              <w:gridCol w:w="325"/>
              <w:gridCol w:w="327"/>
              <w:gridCol w:w="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789"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pH</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溶解氧</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高锰酸盐指数</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化学需氧量</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五日生化需氧量</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氨氮</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总磷</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铜</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锌</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氟化物</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硒</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砷</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汞</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镉</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六价铬</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铅</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氰化物</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挥发酚</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石油类</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阴离子表面活性剂</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硫化物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2019年01月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7.58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11.05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17</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1.9</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0.32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0.04</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0.00100</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0.200</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0.0006</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2019年02月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7.49</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10.80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0.00225</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0.265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0.0005</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2019年03月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7.13</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12.95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0.32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0.295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2019年04月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7.18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9.90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4.6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0.09</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0.00350</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0.150</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2019年05月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6.92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9.40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5.8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0.06</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0.225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0.0008</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0.00012</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2019年06月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6.99</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11.50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4.2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0.11</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0.09</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0.00100</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0.220</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0.0010</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2019年07月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7.00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11.80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0.08</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0.0550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0.245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0.0016</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2019年08月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6.92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9.25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0.09</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0.230</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0.0088</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2019年09月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7.08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7.20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12</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0.03</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0.12</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0.280</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0.0095</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2019年10月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7.06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6.05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0.50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0.09</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0.295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0.0046</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2019年11月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6.86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8.40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0.08</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0.08</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0.255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0.0015</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2019年12月</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7.07</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8.05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3.6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0.09</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0.295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0.0012</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0.00004L</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0.004L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0.002L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0.001L</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0.0003L</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0.01L</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0.05L</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标准值</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6~9</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6</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20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4</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1.0</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1</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0.01</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0.0001</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0.005</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0.05</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达标情况</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超标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超标</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10"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7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43"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44"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07"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c>
                <w:tcPr>
                  <w:tcW w:w="211"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91"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超标率</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0.25</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0.75</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0"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7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4"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7"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00" w:hRule="atLeast"/>
              </w:trPr>
              <w:tc>
                <w:tcPr>
                  <w:tcW w:w="386" w:type="pct"/>
                  <w:shd w:val="clear" w:color="auto" w:fill="auto"/>
                  <w:noWrap/>
                  <w:tcMar>
                    <w:top w:w="15" w:type="dxa"/>
                    <w:left w:w="15" w:type="dxa"/>
                    <w:right w:w="15" w:type="dxa"/>
                  </w:tcMar>
                  <w:vAlign w:val="center"/>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rPr>
                  </w:pPr>
                  <w:r>
                    <w:rPr>
                      <w:rFonts w:hint="eastAsia" w:ascii="宋体" w:hAnsi="宋体" w:cs="宋体"/>
                      <w:sz w:val="18"/>
                      <w:szCs w:val="18"/>
                      <w:lang w:bidi="ar"/>
                    </w:rPr>
                    <w:t>超标倍数</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1.45</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2.4</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0"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7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3"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44"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6"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07"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c>
                <w:tcPr>
                  <w:tcW w:w="211" w:type="pct"/>
                  <w:shd w:val="clear" w:color="auto" w:fill="auto"/>
                  <w:noWrap/>
                  <w:tcMar>
                    <w:top w:w="15" w:type="dxa"/>
                    <w:left w:w="15" w:type="dxa"/>
                    <w:right w:w="15" w:type="dxa"/>
                  </w:tcMar>
                  <w:vAlign w:val="bottom"/>
                </w:tcPr>
                <w:p>
                  <w:pPr>
                    <w:keepNext w:val="0"/>
                    <w:keepLines w:val="0"/>
                    <w:widowControl/>
                    <w:suppressLineNumbers w:val="0"/>
                    <w:adjustRightInd/>
                    <w:snapToGrid/>
                    <w:spacing w:before="0" w:beforeAutospacing="0" w:after="200" w:afterAutospacing="0" w:line="0" w:lineRule="atLeast"/>
                    <w:ind w:left="0" w:right="0" w:firstLine="0" w:firstLineChars="0"/>
                    <w:jc w:val="center"/>
                    <w:textAlignment w:val="center"/>
                    <w:rPr>
                      <w:rFonts w:hint="default" w:ascii="宋体" w:hAnsi="宋体" w:cs="宋体"/>
                      <w:sz w:val="18"/>
                      <w:szCs w:val="18"/>
                      <w:lang w:bidi="ar"/>
                    </w:rPr>
                  </w:pPr>
                  <w:r>
                    <w:rPr>
                      <w:rFonts w:hint="eastAsia" w:ascii="宋体" w:hAnsi="宋体" w:cs="宋体"/>
                      <w:sz w:val="18"/>
                      <w:szCs w:val="18"/>
                      <w:lang w:bidi="ar"/>
                    </w:rPr>
                    <w:t>0</w:t>
                  </w:r>
                </w:p>
              </w:tc>
            </w:tr>
          </w:tbl>
          <w:p>
            <w:pPr>
              <w:pStyle w:val="48"/>
              <w:keepNext w:val="0"/>
              <w:keepLines w:val="0"/>
              <w:suppressLineNumbers w:val="0"/>
              <w:spacing w:before="0" w:beforeAutospacing="0" w:after="0" w:afterAutospacing="0"/>
              <w:ind w:left="0" w:right="0" w:firstLine="420"/>
              <w:rPr>
                <w:rFonts w:hint="default" w:ascii="Times New Roman" w:hAnsi="Times New Roman" w:cs="Times New Roman"/>
                <w:sz w:val="21"/>
                <w:szCs w:val="21"/>
                <w:u w:val="single"/>
              </w:rPr>
            </w:pPr>
            <w:r>
              <w:rPr>
                <w:rFonts w:hint="default" w:ascii="Times New Roman" w:hAnsi="Times New Roman" w:cs="Times New Roman"/>
                <w:sz w:val="21"/>
                <w:szCs w:val="21"/>
                <w:u w:val="single"/>
              </w:rPr>
              <w:t>根据监测结果分析可知，</w:t>
            </w:r>
            <w:r>
              <w:rPr>
                <w:rFonts w:hint="eastAsia" w:ascii="Times New Roman" w:hAnsi="Times New Roman" w:cs="Times New Roman"/>
                <w:sz w:val="21"/>
                <w:szCs w:val="21"/>
                <w:u w:val="single"/>
              </w:rPr>
              <w:t>南湖</w:t>
            </w:r>
            <w:r>
              <w:rPr>
                <w:rFonts w:hint="default" w:ascii="Times New Roman" w:hAnsi="Times New Roman" w:cs="Times New Roman"/>
                <w:sz w:val="21"/>
                <w:szCs w:val="21"/>
                <w:u w:val="single"/>
              </w:rPr>
              <w:t>断面的</w:t>
            </w:r>
            <w:r>
              <w:rPr>
                <w:rFonts w:hint="eastAsia" w:ascii="Times New Roman" w:hAnsi="Times New Roman" w:cs="Times New Roman"/>
                <w:sz w:val="21"/>
                <w:szCs w:val="21"/>
                <w:u w:val="single"/>
              </w:rPr>
              <w:t>五日生化需氧量、总磷超标，其他</w:t>
            </w:r>
            <w:r>
              <w:rPr>
                <w:rFonts w:hint="default" w:ascii="Times New Roman" w:hAnsi="Times New Roman" w:cs="Times New Roman"/>
                <w:sz w:val="21"/>
                <w:szCs w:val="21"/>
                <w:u w:val="single"/>
              </w:rPr>
              <w:t>各监测因子均符合《地表水环境质量标准》（GB3838-2002）的</w:t>
            </w:r>
            <w:r>
              <w:rPr>
                <w:rFonts w:hint="eastAsia" w:cs="宋体"/>
                <w:sz w:val="21"/>
                <w:szCs w:val="21"/>
                <w:u w:val="single"/>
              </w:rPr>
              <w:t>Ⅲ</w:t>
            </w:r>
            <w:r>
              <w:rPr>
                <w:rFonts w:hint="default" w:ascii="Times New Roman" w:hAnsi="Times New Roman" w:cs="Times New Roman"/>
                <w:sz w:val="21"/>
                <w:szCs w:val="21"/>
                <w:u w:val="single"/>
              </w:rPr>
              <w:t>类水质标准。</w:t>
            </w:r>
          </w:p>
          <w:p>
            <w:pPr>
              <w:pStyle w:val="47"/>
              <w:keepNext w:val="0"/>
              <w:keepLines w:val="0"/>
              <w:suppressLineNumbers w:val="0"/>
              <w:spacing w:before="0" w:beforeAutospacing="0" w:after="0" w:afterAutospacing="0"/>
              <w:ind w:left="0" w:right="0" w:firstLine="422"/>
              <w:rPr>
                <w:rFonts w:hint="default" w:cs="Times New Roman"/>
                <w:kern w:val="2"/>
                <w:sz w:val="21"/>
                <w:szCs w:val="21"/>
              </w:rPr>
            </w:pPr>
            <w:r>
              <w:rPr>
                <w:rFonts w:hint="eastAsia" w:cs="Times New Roman"/>
                <w:kern w:val="2"/>
                <w:sz w:val="21"/>
                <w:szCs w:val="21"/>
              </w:rPr>
              <w:t>3.3</w:t>
            </w:r>
            <w:r>
              <w:rPr>
                <w:rFonts w:hint="default" w:cs="Times New Roman"/>
                <w:kern w:val="2"/>
                <w:sz w:val="21"/>
                <w:szCs w:val="21"/>
              </w:rPr>
              <w:t>声环境质量现状</w:t>
            </w:r>
          </w:p>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ind w:left="0" w:right="0" w:firstLine="420"/>
              <w:textAlignment w:val="auto"/>
              <w:rPr>
                <w:rFonts w:hint="default"/>
                <w:sz w:val="21"/>
                <w:szCs w:val="21"/>
              </w:rPr>
            </w:pPr>
            <w:r>
              <w:rPr>
                <w:rFonts w:hint="default"/>
                <w:sz w:val="21"/>
                <w:szCs w:val="21"/>
              </w:rPr>
              <w:t>1、评价因子：按照国家要求，声环境评价因子为等效连续A声级Leq。</w:t>
            </w:r>
          </w:p>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ind w:left="0" w:right="0" w:firstLine="420"/>
              <w:textAlignment w:val="auto"/>
              <w:rPr>
                <w:rFonts w:hint="default"/>
                <w:sz w:val="21"/>
                <w:szCs w:val="21"/>
              </w:rPr>
            </w:pPr>
            <w:r>
              <w:rPr>
                <w:rFonts w:hint="default"/>
                <w:sz w:val="21"/>
                <w:szCs w:val="21"/>
              </w:rPr>
              <w:t>2、评价标准：本项目区域执行《声环境质量标准》(GB3096－2008)中</w:t>
            </w:r>
            <w:r>
              <w:rPr>
                <w:rFonts w:hint="eastAsia"/>
                <w:sz w:val="21"/>
                <w:szCs w:val="21"/>
              </w:rPr>
              <w:t>3</w:t>
            </w:r>
            <w:r>
              <w:rPr>
                <w:rFonts w:hint="default"/>
                <w:sz w:val="21"/>
                <w:szCs w:val="21"/>
              </w:rPr>
              <w:t>类功能区标准。</w:t>
            </w:r>
          </w:p>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ind w:left="0" w:right="0" w:firstLine="525" w:firstLineChars="250"/>
              <w:textAlignment w:val="auto"/>
              <w:rPr>
                <w:rFonts w:hint="default" w:cs="Times New Roman"/>
                <w:sz w:val="21"/>
                <w:szCs w:val="21"/>
              </w:rPr>
            </w:pPr>
            <w:r>
              <w:rPr>
                <w:rFonts w:hint="default" w:cs="Times New Roman"/>
                <w:sz w:val="21"/>
                <w:szCs w:val="21"/>
              </w:rPr>
              <w:t>3、监测结果</w:t>
            </w:r>
          </w:p>
          <w:p>
            <w:pPr>
              <w:pStyle w:val="48"/>
              <w:keepNext w:val="0"/>
              <w:keepLines w:val="0"/>
              <w:suppressLineNumbers w:val="0"/>
              <w:spacing w:before="0" w:beforeAutospacing="0" w:after="0" w:afterAutospacing="0"/>
              <w:ind w:left="0" w:right="0" w:firstLine="420"/>
              <w:rPr>
                <w:rFonts w:hint="default" w:ascii="Times New Roman" w:hAnsi="Times New Roman" w:cs="Times New Roman"/>
                <w:sz w:val="21"/>
                <w:szCs w:val="21"/>
              </w:rPr>
            </w:pPr>
            <w:r>
              <w:rPr>
                <w:rFonts w:hint="default" w:ascii="Times New Roman" w:hAnsi="Times New Roman" w:cs="Times New Roman"/>
                <w:sz w:val="21"/>
                <w:szCs w:val="21"/>
              </w:rPr>
              <w:t>根据建设项目周边的环境状况，本次环评在建设项目地四个边界分别设置了4个监测点位，委托湖南永蓝检测技术股份有限公司于2020年4月20日~21日进行监测，其噪声现状监测结果如下表所示。</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表3-4  拟建</w:t>
            </w:r>
            <w:r>
              <w:rPr>
                <w:rFonts w:hint="eastAsia"/>
                <w:color w:val="auto"/>
                <w:sz w:val="21"/>
                <w:szCs w:val="21"/>
              </w:rPr>
              <w:t>项目</w:t>
            </w:r>
            <w:r>
              <w:rPr>
                <w:rFonts w:hint="default"/>
                <w:color w:val="auto"/>
                <w:sz w:val="21"/>
                <w:szCs w:val="21"/>
              </w:rPr>
              <w:t>地噪声监测情况表</w:t>
            </w:r>
          </w:p>
          <w:tbl>
            <w:tblPr>
              <w:tblStyle w:val="5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6"/>
              <w:gridCol w:w="1360"/>
              <w:gridCol w:w="2184"/>
              <w:gridCol w:w="1547"/>
              <w:gridCol w:w="13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监测位点</w:t>
                  </w:r>
                </w:p>
              </w:tc>
              <w:tc>
                <w:tcPr>
                  <w:tcW w:w="854"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主要声源</w:t>
                  </w:r>
                </w:p>
              </w:tc>
              <w:tc>
                <w:tcPr>
                  <w:tcW w:w="1370"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日期</w:t>
                  </w:r>
                </w:p>
              </w:tc>
              <w:tc>
                <w:tcPr>
                  <w:tcW w:w="1823" w:type="pct"/>
                  <w:gridSpan w:val="2"/>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测量值</w:t>
                  </w:r>
                  <w:r>
                    <w:rPr>
                      <w:rFonts w:hint="default"/>
                    </w:rPr>
                    <w:t>LeqdB</w:t>
                  </w:r>
                  <w:r>
                    <w:rPr>
                      <w:rFonts w:hint="eastAsia"/>
                    </w:rPr>
                    <w:t>（</w:t>
                  </w:r>
                  <w:r>
                    <w:rPr>
                      <w:rFonts w:hint="default"/>
                    </w:rPr>
                    <w:t>A</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854"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1370"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昼</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东厂界</w:t>
                  </w:r>
                </w:p>
              </w:tc>
              <w:tc>
                <w:tcPr>
                  <w:tcW w:w="854"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噪声</w:t>
                  </w: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4月20日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51.1</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854"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4月21日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50.9</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南厂界</w:t>
                  </w:r>
                </w:p>
              </w:tc>
              <w:tc>
                <w:tcPr>
                  <w:tcW w:w="854"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交通噪声</w:t>
                  </w: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4月20日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55.1</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854"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4月21日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54.3</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9" w:hRule="atLeast"/>
              </w:trPr>
              <w:tc>
                <w:tcPr>
                  <w:tcW w:w="951"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西厂界</w:t>
                  </w:r>
                </w:p>
              </w:tc>
              <w:tc>
                <w:tcPr>
                  <w:tcW w:w="854"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噪声</w:t>
                  </w: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4月20日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52.2</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854"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4月21日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51.9</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北厂界</w:t>
                  </w:r>
                </w:p>
              </w:tc>
              <w:tc>
                <w:tcPr>
                  <w:tcW w:w="854" w:type="pct"/>
                  <w:vMerge w:val="restar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噪声</w:t>
                  </w: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4月20日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52.4</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1"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854" w:type="pct"/>
                  <w:vMerge w:val="continue"/>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p>
              </w:tc>
              <w:tc>
                <w:tcPr>
                  <w:tcW w:w="1370"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4月21日</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52.8</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176" w:type="pct"/>
                  <w:gridSpan w:val="3"/>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标准值</w:t>
                  </w:r>
                  <w:r>
                    <w:rPr>
                      <w:rFonts w:hint="eastAsia"/>
                    </w:rPr>
                    <w:t>3</w:t>
                  </w:r>
                  <w:r>
                    <w:rPr>
                      <w:rFonts w:hint="default"/>
                    </w:rPr>
                    <w:t>类</w:t>
                  </w:r>
                </w:p>
              </w:tc>
              <w:tc>
                <w:tcPr>
                  <w:tcW w:w="97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65</w:t>
                  </w:r>
                </w:p>
              </w:tc>
              <w:tc>
                <w:tcPr>
                  <w:tcW w:w="851" w:type="pct"/>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5</w:t>
                  </w:r>
                  <w:r>
                    <w:rPr>
                      <w:rFonts w:hint="eastAsia"/>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176" w:type="pct"/>
                  <w:gridSpan w:val="3"/>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达标情况</w:t>
                  </w:r>
                </w:p>
              </w:tc>
              <w:tc>
                <w:tcPr>
                  <w:tcW w:w="1823" w:type="pct"/>
                  <w:gridSpan w:val="2"/>
                  <w:shd w:val="clear" w:color="auto" w:fill="FFFFFF" w:themeFill="background1"/>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达标</w:t>
                  </w:r>
                </w:p>
              </w:tc>
            </w:tr>
          </w:tbl>
          <w:p>
            <w:pPr>
              <w:keepNext w:val="0"/>
              <w:keepLines w:val="0"/>
              <w:widowControl w:val="0"/>
              <w:suppressLineNumbers w:val="0"/>
              <w:spacing w:before="0" w:beforeAutospacing="0" w:after="0" w:afterAutospacing="0"/>
              <w:ind w:left="0" w:right="0" w:firstLine="0" w:firstLineChars="0"/>
              <w:rPr>
                <w:rFonts w:hint="default" w:ascii="宋体" w:hAnsi="宋体" w:cs="宋体"/>
                <w:sz w:val="21"/>
                <w:szCs w:val="21"/>
              </w:rPr>
            </w:pPr>
            <w:r>
              <w:rPr>
                <w:rFonts w:hint="default" w:cs="Times New Roman"/>
                <w:sz w:val="21"/>
                <w:szCs w:val="21"/>
              </w:rPr>
              <w:t>监测结果表明，东、西、</w:t>
            </w:r>
            <w:r>
              <w:rPr>
                <w:rFonts w:hint="eastAsia" w:cs="Times New Roman"/>
                <w:sz w:val="21"/>
                <w:szCs w:val="21"/>
              </w:rPr>
              <w:t>南、</w:t>
            </w:r>
            <w:r>
              <w:rPr>
                <w:rFonts w:hint="default" w:cs="Times New Roman"/>
                <w:sz w:val="21"/>
                <w:szCs w:val="21"/>
              </w:rPr>
              <w:t>北厂界噪声符合《工业企业厂界噪声标准》（GB12348-2008）</w:t>
            </w:r>
            <w:r>
              <w:rPr>
                <w:rFonts w:hint="eastAsia" w:cs="Times New Roman"/>
                <w:sz w:val="21"/>
                <w:szCs w:val="21"/>
              </w:rPr>
              <w:t>3</w:t>
            </w:r>
            <w:r>
              <w:rPr>
                <w:rFonts w:hint="default" w:cs="Times New Roman"/>
                <w:sz w:val="21"/>
                <w:szCs w:val="21"/>
              </w:rPr>
              <w:t>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2400" w:hRule="atLeast"/>
          <w:jc w:val="center"/>
        </w:trPr>
        <w:tc>
          <w:tcPr>
            <w:tcW w:w="800" w:type="dxa"/>
            <w:tcBorders>
              <w:top w:val="single" w:color="auto" w:sz="4" w:space="0"/>
              <w:left w:val="single" w:color="auto" w:sz="8"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环境</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保护</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目标</w:t>
            </w:r>
          </w:p>
        </w:tc>
        <w:tc>
          <w:tcPr>
            <w:tcW w:w="8190" w:type="dxa"/>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420"/>
              <w:jc w:val="both"/>
              <w:rPr>
                <w:rFonts w:hint="default" w:cs="Times New Roman"/>
                <w:sz w:val="21"/>
                <w:szCs w:val="21"/>
              </w:rPr>
            </w:pPr>
            <w:r>
              <w:rPr>
                <w:rFonts w:hint="default" w:cs="Times New Roman"/>
                <w:sz w:val="21"/>
                <w:szCs w:val="21"/>
              </w:rPr>
              <w:t>本项目主厂区位于</w:t>
            </w:r>
            <w:r>
              <w:rPr>
                <w:rFonts w:hint="eastAsia" w:cs="Times New Roman"/>
                <w:sz w:val="21"/>
                <w:szCs w:val="21"/>
              </w:rPr>
              <w:t>岳阳经济技术开发区新园路以南金凤桥路以东木里港工业园</w:t>
            </w:r>
            <w:r>
              <w:rPr>
                <w:rFonts w:hint="default" w:cs="Times New Roman"/>
                <w:bCs/>
                <w:kern w:val="2"/>
                <w:sz w:val="21"/>
                <w:szCs w:val="21"/>
              </w:rPr>
              <w:t>，为新建项目，厂区面积约</w:t>
            </w:r>
            <w:r>
              <w:rPr>
                <w:rFonts w:hint="eastAsia" w:cs="Times New Roman"/>
                <w:sz w:val="21"/>
                <w:szCs w:val="21"/>
                <w:lang w:eastAsia="zh-CN"/>
              </w:rPr>
              <w:t>66249.81</w:t>
            </w:r>
            <w:r>
              <w:rPr>
                <w:rFonts w:hint="default" w:cs="Times New Roman"/>
                <w:sz w:val="21"/>
                <w:szCs w:val="21"/>
              </w:rPr>
              <w:t>㎡</w:t>
            </w:r>
            <w:r>
              <w:rPr>
                <w:rFonts w:hint="default" w:cs="Times New Roman"/>
                <w:bCs/>
                <w:kern w:val="2"/>
                <w:sz w:val="21"/>
                <w:szCs w:val="21"/>
              </w:rPr>
              <w:t>。东侧</w:t>
            </w:r>
            <w:r>
              <w:rPr>
                <w:rFonts w:hint="eastAsia" w:cs="Times New Roman"/>
                <w:bCs/>
                <w:kern w:val="2"/>
                <w:sz w:val="21"/>
                <w:szCs w:val="21"/>
              </w:rPr>
              <w:t>其他企业及殷家冲居民</w:t>
            </w:r>
            <w:r>
              <w:rPr>
                <w:rFonts w:hint="default" w:cs="Times New Roman"/>
                <w:bCs/>
                <w:kern w:val="2"/>
                <w:sz w:val="21"/>
                <w:szCs w:val="21"/>
              </w:rPr>
              <w:t>，南侧为</w:t>
            </w:r>
            <w:r>
              <w:rPr>
                <w:rFonts w:hint="eastAsia" w:cs="Times New Roman"/>
                <w:bCs/>
                <w:kern w:val="2"/>
                <w:sz w:val="21"/>
                <w:szCs w:val="21"/>
              </w:rPr>
              <w:t>岳阳现代装备产业园和少量居民</w:t>
            </w:r>
            <w:r>
              <w:rPr>
                <w:rFonts w:hint="default" w:cs="Times New Roman"/>
                <w:bCs/>
                <w:kern w:val="2"/>
                <w:sz w:val="21"/>
                <w:szCs w:val="21"/>
              </w:rPr>
              <w:t>，西侧为</w:t>
            </w:r>
            <w:r>
              <w:rPr>
                <w:rFonts w:hint="eastAsia" w:cs="Times New Roman"/>
                <w:bCs/>
                <w:kern w:val="2"/>
                <w:sz w:val="21"/>
                <w:szCs w:val="21"/>
              </w:rPr>
              <w:t>少量居民</w:t>
            </w:r>
            <w:r>
              <w:rPr>
                <w:rFonts w:hint="default" w:cs="Times New Roman"/>
                <w:bCs/>
                <w:kern w:val="2"/>
                <w:sz w:val="21"/>
                <w:szCs w:val="21"/>
              </w:rPr>
              <w:t>，北侧为</w:t>
            </w:r>
            <w:r>
              <w:rPr>
                <w:rFonts w:hint="eastAsia" w:cs="Times New Roman"/>
                <w:bCs/>
                <w:kern w:val="2"/>
                <w:sz w:val="21"/>
                <w:szCs w:val="21"/>
              </w:rPr>
              <w:t>周福生居民</w:t>
            </w:r>
            <w:r>
              <w:rPr>
                <w:rFonts w:hint="default" w:cs="Times New Roman"/>
                <w:sz w:val="21"/>
                <w:szCs w:val="21"/>
              </w:rPr>
              <w:t>。</w:t>
            </w:r>
            <w:r>
              <w:rPr>
                <w:rFonts w:hint="eastAsia" w:cs="Times New Roman"/>
                <w:bCs/>
                <w:kern w:val="2"/>
                <w:sz w:val="21"/>
                <w:szCs w:val="21"/>
                <w:u w:val="single"/>
              </w:rPr>
              <w:t>20</w:t>
            </w:r>
            <w:r>
              <w:rPr>
                <w:rFonts w:hint="default" w:cs="Times New Roman"/>
                <w:bCs/>
                <w:kern w:val="2"/>
                <w:sz w:val="21"/>
                <w:szCs w:val="21"/>
                <w:u w:val="single"/>
              </w:rPr>
              <w:t>0m范围内</w:t>
            </w:r>
            <w:r>
              <w:rPr>
                <w:rFonts w:hint="eastAsia" w:cs="Times New Roman"/>
                <w:bCs/>
                <w:kern w:val="2"/>
                <w:sz w:val="21"/>
                <w:szCs w:val="21"/>
                <w:u w:val="single"/>
              </w:rPr>
              <w:t>居民已拆迁，无居民，无声环境保护目标</w:t>
            </w:r>
            <w:r>
              <w:rPr>
                <w:rFonts w:hint="default" w:cs="Times New Roman"/>
                <w:bCs/>
                <w:kern w:val="2"/>
                <w:sz w:val="21"/>
                <w:szCs w:val="21"/>
              </w:rPr>
              <w:t>。</w:t>
            </w:r>
            <w:r>
              <w:rPr>
                <w:rFonts w:hint="default" w:cs="Times New Roman"/>
                <w:sz w:val="21"/>
                <w:szCs w:val="21"/>
              </w:rPr>
              <w:t>项目具体的环境保护目标详见下表。</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表3-5 大气环境保护目标</w:t>
            </w:r>
          </w:p>
          <w:tbl>
            <w:tblPr>
              <w:tblStyle w:val="51"/>
              <w:tblW w:w="80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9"/>
              <w:gridCol w:w="766"/>
              <w:gridCol w:w="840"/>
              <w:gridCol w:w="597"/>
              <w:gridCol w:w="709"/>
              <w:gridCol w:w="811"/>
              <w:gridCol w:w="709"/>
              <w:gridCol w:w="683"/>
              <w:gridCol w:w="682"/>
              <w:gridCol w:w="6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74" w:hRule="atLeast"/>
              </w:trPr>
              <w:tc>
                <w:tcPr>
                  <w:tcW w:w="1000"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名称</w:t>
                  </w:r>
                </w:p>
              </w:tc>
              <w:tc>
                <w:tcPr>
                  <w:tcW w:w="992" w:type="pct"/>
                  <w:gridSpan w:val="2"/>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坐标/m</w:t>
                  </w:r>
                </w:p>
              </w:tc>
              <w:tc>
                <w:tcPr>
                  <w:tcW w:w="369"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保护</w:t>
                  </w:r>
                </w:p>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对象</w:t>
                  </w:r>
                </w:p>
              </w:tc>
              <w:tc>
                <w:tcPr>
                  <w:tcW w:w="438"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保护</w:t>
                  </w:r>
                </w:p>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内容</w:t>
                  </w:r>
                </w:p>
              </w:tc>
              <w:tc>
                <w:tcPr>
                  <w:tcW w:w="501"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环境功</w:t>
                  </w:r>
                </w:p>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能区</w:t>
                  </w:r>
                </w:p>
              </w:tc>
              <w:tc>
                <w:tcPr>
                  <w:tcW w:w="438"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相对厂</w:t>
                  </w:r>
                </w:p>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址方位</w:t>
                  </w:r>
                </w:p>
              </w:tc>
              <w:tc>
                <w:tcPr>
                  <w:tcW w:w="422"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相对厂界距离/m</w:t>
                  </w:r>
                </w:p>
              </w:tc>
              <w:tc>
                <w:tcPr>
                  <w:tcW w:w="421"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户数</w:t>
                  </w:r>
                </w:p>
              </w:tc>
              <w:tc>
                <w:tcPr>
                  <w:tcW w:w="419" w:type="pct"/>
                  <w:vMerge w:val="restar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 w:hRule="atLeast"/>
              </w:trPr>
              <w:tc>
                <w:tcPr>
                  <w:tcW w:w="1000"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473"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X</w:t>
                  </w:r>
                </w:p>
              </w:tc>
              <w:tc>
                <w:tcPr>
                  <w:tcW w:w="5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Y</w:t>
                  </w:r>
                </w:p>
              </w:tc>
              <w:tc>
                <w:tcPr>
                  <w:tcW w:w="369"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438"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501"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438"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422"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421"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c>
                <w:tcPr>
                  <w:tcW w:w="419" w:type="pct"/>
                  <w:vMerge w:val="continue"/>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5" w:hRule="atLeast"/>
              </w:trPr>
              <w:tc>
                <w:tcPr>
                  <w:tcW w:w="1000"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殷家冲居民</w:t>
                  </w:r>
                </w:p>
              </w:tc>
              <w:tc>
                <w:tcPr>
                  <w:tcW w:w="473"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713578</w:t>
                  </w:r>
                </w:p>
              </w:tc>
              <w:tc>
                <w:tcPr>
                  <w:tcW w:w="5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3247136</w:t>
                  </w:r>
                </w:p>
              </w:tc>
              <w:tc>
                <w:tcPr>
                  <w:tcW w:w="36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居民</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人群</w:t>
                  </w:r>
                </w:p>
              </w:tc>
              <w:tc>
                <w:tcPr>
                  <w:tcW w:w="50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二类区</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东、东北</w:t>
                  </w:r>
                </w:p>
              </w:tc>
              <w:tc>
                <w:tcPr>
                  <w:tcW w:w="422"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232.9</w:t>
                  </w:r>
                </w:p>
              </w:tc>
              <w:tc>
                <w:tcPr>
                  <w:tcW w:w="42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约420</w:t>
                  </w:r>
                </w:p>
              </w:tc>
              <w:tc>
                <w:tcPr>
                  <w:tcW w:w="4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约1260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5" w:hRule="atLeast"/>
              </w:trPr>
              <w:tc>
                <w:tcPr>
                  <w:tcW w:w="1000"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新华花苑</w:t>
                  </w:r>
                </w:p>
              </w:tc>
              <w:tc>
                <w:tcPr>
                  <w:tcW w:w="473"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712191</w:t>
                  </w:r>
                </w:p>
              </w:tc>
              <w:tc>
                <w:tcPr>
                  <w:tcW w:w="5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3246320</w:t>
                  </w:r>
                </w:p>
              </w:tc>
              <w:tc>
                <w:tcPr>
                  <w:tcW w:w="36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居民</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人群</w:t>
                  </w:r>
                </w:p>
              </w:tc>
              <w:tc>
                <w:tcPr>
                  <w:tcW w:w="50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二类区</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西南</w:t>
                  </w:r>
                </w:p>
              </w:tc>
              <w:tc>
                <w:tcPr>
                  <w:tcW w:w="422"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654</w:t>
                  </w:r>
                </w:p>
              </w:tc>
              <w:tc>
                <w:tcPr>
                  <w:tcW w:w="42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约500</w:t>
                  </w:r>
                </w:p>
              </w:tc>
              <w:tc>
                <w:tcPr>
                  <w:tcW w:w="4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约1500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000"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新华村居民</w:t>
                  </w:r>
                </w:p>
              </w:tc>
              <w:tc>
                <w:tcPr>
                  <w:tcW w:w="473"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712157</w:t>
                  </w:r>
                </w:p>
              </w:tc>
              <w:tc>
                <w:tcPr>
                  <w:tcW w:w="5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3247085</w:t>
                  </w:r>
                </w:p>
              </w:tc>
              <w:tc>
                <w:tcPr>
                  <w:tcW w:w="36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居民</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人群</w:t>
                  </w:r>
                </w:p>
              </w:tc>
              <w:tc>
                <w:tcPr>
                  <w:tcW w:w="50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二类区</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西、西北</w:t>
                  </w:r>
                </w:p>
              </w:tc>
              <w:tc>
                <w:tcPr>
                  <w:tcW w:w="422"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584.8</w:t>
                  </w:r>
                </w:p>
              </w:tc>
              <w:tc>
                <w:tcPr>
                  <w:tcW w:w="42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约800</w:t>
                  </w:r>
                </w:p>
              </w:tc>
              <w:tc>
                <w:tcPr>
                  <w:tcW w:w="4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约2400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000"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周福生居民</w:t>
                  </w:r>
                </w:p>
              </w:tc>
              <w:tc>
                <w:tcPr>
                  <w:tcW w:w="473"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712929</w:t>
                  </w:r>
                </w:p>
              </w:tc>
              <w:tc>
                <w:tcPr>
                  <w:tcW w:w="5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3247286</w:t>
                  </w:r>
                </w:p>
              </w:tc>
              <w:tc>
                <w:tcPr>
                  <w:tcW w:w="36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居民</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人群</w:t>
                  </w:r>
                </w:p>
              </w:tc>
              <w:tc>
                <w:tcPr>
                  <w:tcW w:w="50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二类区</w:t>
                  </w:r>
                </w:p>
              </w:tc>
              <w:tc>
                <w:tcPr>
                  <w:tcW w:w="438"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北</w:t>
                  </w:r>
                </w:p>
              </w:tc>
              <w:tc>
                <w:tcPr>
                  <w:tcW w:w="422"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224.9</w:t>
                  </w:r>
                </w:p>
              </w:tc>
              <w:tc>
                <w:tcPr>
                  <w:tcW w:w="421"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约50</w:t>
                  </w:r>
                </w:p>
              </w:tc>
              <w:tc>
                <w:tcPr>
                  <w:tcW w:w="419" w:type="pct"/>
                  <w:shd w:val="clear" w:color="auto" w:fill="FFFFFF" w:themeFill="background1"/>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约150</w:t>
                  </w:r>
                </w:p>
              </w:tc>
            </w:tr>
          </w:tbl>
          <w:p>
            <w:pPr>
              <w:pStyle w:val="49"/>
              <w:keepNext w:val="0"/>
              <w:keepLines w:val="0"/>
              <w:widowControl/>
              <w:suppressLineNumbers w:val="0"/>
              <w:spacing w:before="0" w:beforeAutospacing="0" w:after="0" w:afterAutospacing="0"/>
              <w:ind w:left="0" w:right="0"/>
              <w:rPr>
                <w:rFonts w:hint="default"/>
                <w:color w:val="auto"/>
                <w:sz w:val="21"/>
                <w:szCs w:val="21"/>
              </w:rPr>
            </w:pP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default"/>
                <w:color w:val="auto"/>
                <w:sz w:val="21"/>
                <w:szCs w:val="21"/>
              </w:rPr>
              <w:t>表3-6 其他环境保护目标</w:t>
            </w:r>
          </w:p>
          <w:tbl>
            <w:tblPr>
              <w:tblStyle w:val="25"/>
              <w:tblW w:w="7944"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951"/>
              <w:gridCol w:w="1098"/>
              <w:gridCol w:w="1128"/>
              <w:gridCol w:w="1424"/>
              <w:gridCol w:w="1034"/>
              <w:gridCol w:w="2309"/>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508" w:hRule="atLeast"/>
                <w:jc w:val="center"/>
              </w:trPr>
              <w:tc>
                <w:tcPr>
                  <w:tcW w:w="599"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环境要素</w:t>
                  </w:r>
                </w:p>
              </w:tc>
              <w:tc>
                <w:tcPr>
                  <w:tcW w:w="691"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目标名称</w:t>
                  </w:r>
                </w:p>
              </w:tc>
              <w:tc>
                <w:tcPr>
                  <w:tcW w:w="710"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方位</w:t>
                  </w:r>
                </w:p>
              </w:tc>
              <w:tc>
                <w:tcPr>
                  <w:tcW w:w="896"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距离</w:t>
                  </w:r>
                </w:p>
              </w:tc>
              <w:tc>
                <w:tcPr>
                  <w:tcW w:w="651"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功能及规模</w:t>
                  </w:r>
                </w:p>
              </w:tc>
              <w:tc>
                <w:tcPr>
                  <w:tcW w:w="1453"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保护级别</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9" w:hRule="atLeast"/>
                <w:jc w:val="center"/>
              </w:trPr>
              <w:tc>
                <w:tcPr>
                  <w:tcW w:w="599" w:type="pct"/>
                  <w:vAlign w:val="center"/>
                </w:tcPr>
                <w:p>
                  <w:pPr>
                    <w:pStyle w:val="32"/>
                    <w:keepNext w:val="0"/>
                    <w:keepLines w:val="0"/>
                    <w:widowControl/>
                    <w:suppressLineNumbers w:val="0"/>
                    <w:spacing w:before="0" w:beforeAutospacing="0" w:afterAutospacing="0"/>
                    <w:ind w:left="0" w:right="0"/>
                    <w:rPr>
                      <w:rFonts w:hint="default"/>
                      <w:szCs w:val="21"/>
                    </w:rPr>
                  </w:pPr>
                  <w:r>
                    <w:rPr>
                      <w:rFonts w:hint="default"/>
                      <w:szCs w:val="21"/>
                    </w:rPr>
                    <w:t>水环境</w:t>
                  </w:r>
                </w:p>
              </w:tc>
              <w:tc>
                <w:tcPr>
                  <w:tcW w:w="691" w:type="pc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南湖</w:t>
                  </w:r>
                </w:p>
              </w:tc>
              <w:tc>
                <w:tcPr>
                  <w:tcW w:w="71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西</w:t>
                  </w:r>
                </w:p>
              </w:tc>
              <w:tc>
                <w:tcPr>
                  <w:tcW w:w="89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4.8km</w:t>
                  </w:r>
                </w:p>
              </w:tc>
              <w:tc>
                <w:tcPr>
                  <w:tcW w:w="651"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景观</w:t>
                  </w:r>
                  <w:r>
                    <w:rPr>
                      <w:rFonts w:hint="default"/>
                      <w:szCs w:val="21"/>
                    </w:rPr>
                    <w:t>用水</w:t>
                  </w:r>
                </w:p>
              </w:tc>
              <w:tc>
                <w:tcPr>
                  <w:tcW w:w="1453" w:type="pct"/>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《地表水环境质量标准》</w:t>
                  </w:r>
                  <w:r>
                    <w:rPr>
                      <w:rFonts w:hint="default"/>
                      <w:szCs w:val="21"/>
                    </w:rPr>
                    <w:t>（GB3838-2002）</w:t>
                  </w:r>
                  <w:r>
                    <w:rPr>
                      <w:rFonts w:hint="eastAsia"/>
                      <w:szCs w:val="21"/>
                    </w:rPr>
                    <w:t>Ⅲ</w:t>
                  </w:r>
                  <w:r>
                    <w:rPr>
                      <w:rFonts w:hint="default"/>
                      <w:szCs w:val="21"/>
                    </w:rPr>
                    <w:t>类标准</w:t>
                  </w:r>
                </w:p>
              </w:tc>
            </w:tr>
          </w:tbl>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789" w:hRule="atLeast"/>
          <w:jc w:val="center"/>
        </w:trPr>
        <w:tc>
          <w:tcPr>
            <w:tcW w:w="800" w:type="dxa"/>
            <w:tcBorders>
              <w:top w:val="single" w:color="auto" w:sz="4" w:space="0"/>
              <w:left w:val="single" w:color="auto" w:sz="8" w:space="0"/>
              <w:bottom w:val="single" w:color="auto" w:sz="4" w:space="0"/>
              <w:right w:val="single" w:color="auto" w:sz="4" w:space="0"/>
            </w:tcBorders>
            <w:shd w:val="clear" w:color="auto" w:fill="auto"/>
            <w:tcMar>
              <w:left w:w="28" w:type="dxa"/>
              <w:right w:w="28"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污染</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物排</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放控</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制标</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准</w:t>
            </w:r>
          </w:p>
        </w:tc>
        <w:tc>
          <w:tcPr>
            <w:tcW w:w="8190" w:type="dxa"/>
            <w:tcBorders>
              <w:top w:val="single" w:color="auto" w:sz="4" w:space="0"/>
              <w:left w:val="single" w:color="auto" w:sz="4" w:space="0"/>
              <w:bottom w:val="single" w:color="auto" w:sz="4"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firstLine="420"/>
              <w:rPr>
                <w:rFonts w:hint="default" w:cs="Times New Roman"/>
                <w:kern w:val="2"/>
                <w:sz w:val="21"/>
                <w:szCs w:val="21"/>
              </w:rPr>
            </w:pPr>
            <w:r>
              <w:rPr>
                <w:rFonts w:hint="default" w:cs="Times New Roman"/>
                <w:kern w:val="2"/>
                <w:sz w:val="21"/>
                <w:szCs w:val="21"/>
              </w:rPr>
              <w:t>1、废气：</w:t>
            </w:r>
            <w:r>
              <w:rPr>
                <w:rFonts w:hint="eastAsia" w:cs="Times New Roman"/>
                <w:kern w:val="2"/>
                <w:sz w:val="21"/>
                <w:szCs w:val="21"/>
              </w:rPr>
              <w:t>有组织排放的VOCs执行《表面涂装（汽车制造及维修）挥发性有机物、镍排放标准》（DB43/1356-2017）中的要求。无组织排放的非甲烷总烃</w:t>
            </w:r>
            <w:r>
              <w:rPr>
                <w:rFonts w:hint="eastAsia"/>
                <w:sz w:val="21"/>
                <w:szCs w:val="21"/>
                <w:u w:val="single"/>
              </w:rPr>
              <w:t>执行《表面涂装（汽车制造及维修）挥发性有机物、镍排放标准》（DB43/1356-2017）中的要求及《挥发性有机物无组织排放控制标准》（GB 37822—2019）中的要求。</w:t>
            </w:r>
            <w:r>
              <w:rPr>
                <w:rFonts w:hint="eastAsia" w:cs="Times New Roman"/>
                <w:kern w:val="2"/>
                <w:sz w:val="21"/>
                <w:szCs w:val="21"/>
              </w:rPr>
              <w:t>无组织排放的颗粒物执行《大气污染物综合排放标准》（GB16297-1996）表2中的标准。</w:t>
            </w:r>
          </w:p>
          <w:p>
            <w:pPr>
              <w:keepNext w:val="0"/>
              <w:keepLines w:val="0"/>
              <w:widowControl w:val="0"/>
              <w:suppressLineNumbers w:val="0"/>
              <w:spacing w:before="0" w:beforeAutospacing="0" w:after="0" w:afterAutospacing="0"/>
              <w:ind w:left="0" w:right="0" w:firstLine="420"/>
              <w:rPr>
                <w:rFonts w:hint="default" w:cs="Times New Roman"/>
                <w:kern w:val="2"/>
                <w:sz w:val="21"/>
                <w:szCs w:val="21"/>
              </w:rPr>
            </w:pPr>
            <w:r>
              <w:rPr>
                <w:rFonts w:hint="eastAsia" w:cs="Times New Roman"/>
                <w:kern w:val="2"/>
                <w:sz w:val="21"/>
                <w:szCs w:val="21"/>
              </w:rPr>
              <w:t>2、</w:t>
            </w:r>
            <w:r>
              <w:rPr>
                <w:rFonts w:hint="default" w:cs="Times New Roman"/>
                <w:kern w:val="2"/>
                <w:sz w:val="21"/>
                <w:szCs w:val="21"/>
              </w:rPr>
              <w:t>废水：废水执行罗家坡污水处理厂</w:t>
            </w:r>
            <w:r>
              <w:rPr>
                <w:rFonts w:hint="eastAsia" w:cs="Times New Roman"/>
                <w:kern w:val="2"/>
                <w:sz w:val="21"/>
                <w:szCs w:val="21"/>
              </w:rPr>
              <w:t>二期</w:t>
            </w:r>
            <w:r>
              <w:rPr>
                <w:rFonts w:hint="default" w:cs="Times New Roman"/>
                <w:kern w:val="2"/>
                <w:sz w:val="21"/>
                <w:szCs w:val="21"/>
              </w:rPr>
              <w:t>的接管标准。</w:t>
            </w:r>
          </w:p>
          <w:p>
            <w:pPr>
              <w:keepNext w:val="0"/>
              <w:keepLines w:val="0"/>
              <w:widowControl/>
              <w:suppressLineNumbers w:val="0"/>
              <w:spacing w:before="0" w:beforeAutospacing="0" w:after="0" w:afterAutospacing="0"/>
              <w:ind w:left="0" w:right="0" w:firstLine="420"/>
              <w:rPr>
                <w:rFonts w:hint="default" w:cs="Times New Roman"/>
                <w:kern w:val="2"/>
                <w:sz w:val="21"/>
                <w:szCs w:val="21"/>
              </w:rPr>
            </w:pPr>
            <w:r>
              <w:rPr>
                <w:rFonts w:hint="default" w:cs="Times New Roman"/>
                <w:kern w:val="2"/>
                <w:sz w:val="21"/>
                <w:szCs w:val="21"/>
              </w:rPr>
              <w:t>3、噪声：执行GB12348-2008《工业企业厂界环境噪声排放标准》</w:t>
            </w:r>
            <w:r>
              <w:rPr>
                <w:rFonts w:hint="eastAsia" w:cs="Times New Roman"/>
                <w:kern w:val="2"/>
                <w:sz w:val="21"/>
                <w:szCs w:val="21"/>
              </w:rPr>
              <w:t>3</w:t>
            </w:r>
            <w:r>
              <w:rPr>
                <w:rFonts w:hint="default" w:cs="Times New Roman"/>
                <w:kern w:val="2"/>
                <w:sz w:val="21"/>
                <w:szCs w:val="21"/>
              </w:rPr>
              <w:t>类声环境功能区的噪声限值（昼间Leq6</w:t>
            </w:r>
            <w:r>
              <w:rPr>
                <w:rFonts w:hint="eastAsia" w:cs="Times New Roman"/>
                <w:kern w:val="2"/>
                <w:sz w:val="21"/>
                <w:szCs w:val="21"/>
              </w:rPr>
              <w:t>5</w:t>
            </w:r>
            <w:r>
              <w:rPr>
                <w:rFonts w:hint="default" w:cs="Times New Roman"/>
                <w:kern w:val="2"/>
                <w:sz w:val="21"/>
                <w:szCs w:val="21"/>
              </w:rPr>
              <w:t>dB（A），夜间Leq5</w:t>
            </w:r>
            <w:r>
              <w:rPr>
                <w:rFonts w:hint="eastAsia" w:cs="Times New Roman"/>
                <w:kern w:val="2"/>
                <w:sz w:val="21"/>
                <w:szCs w:val="21"/>
              </w:rPr>
              <w:t>5</w:t>
            </w:r>
            <w:r>
              <w:rPr>
                <w:rFonts w:hint="default" w:cs="Times New Roman"/>
                <w:kern w:val="2"/>
                <w:sz w:val="21"/>
                <w:szCs w:val="21"/>
              </w:rPr>
              <w:t>dB（A））。</w:t>
            </w:r>
          </w:p>
          <w:p>
            <w:pPr>
              <w:keepNext w:val="0"/>
              <w:keepLines w:val="0"/>
              <w:widowControl w:val="0"/>
              <w:suppressLineNumbers w:val="0"/>
              <w:spacing w:before="0" w:beforeAutospacing="0" w:after="0" w:afterAutospacing="0"/>
              <w:ind w:left="0" w:right="0" w:firstLine="420"/>
              <w:rPr>
                <w:rFonts w:hint="default" w:ascii="宋体" w:hAnsi="宋体" w:cs="宋体"/>
                <w:sz w:val="21"/>
                <w:szCs w:val="21"/>
              </w:rPr>
            </w:pPr>
            <w:r>
              <w:rPr>
                <w:rFonts w:hint="default" w:cs="Times New Roman"/>
                <w:kern w:val="2"/>
                <w:sz w:val="21"/>
                <w:szCs w:val="21"/>
              </w:rPr>
              <w:t>4、固体废弃物：一般生活垃圾执行《生活垃圾填埋场污染控制标准》（GB16889-</w:t>
            </w:r>
            <w:r>
              <w:rPr>
                <w:rFonts w:hint="default" w:cs="Times New Roman"/>
                <w:bCs/>
                <w:kern w:val="2"/>
                <w:sz w:val="21"/>
                <w:szCs w:val="21"/>
              </w:rPr>
              <w:t>2008）</w:t>
            </w:r>
            <w:r>
              <w:rPr>
                <w:rFonts w:hint="eastAsia" w:cs="Times New Roman"/>
                <w:bCs/>
                <w:kern w:val="2"/>
                <w:sz w:val="21"/>
                <w:szCs w:val="21"/>
              </w:rPr>
              <w:t>；</w:t>
            </w:r>
            <w:r>
              <w:rPr>
                <w:rFonts w:hint="default"/>
                <w:sz w:val="21"/>
                <w:szCs w:val="21"/>
                <w:u w:val="single"/>
              </w:rPr>
              <w:t>危险固废执行《危险废物贮存污染控制标准》（GB18597-2001）及2013年修改单和《危险废物收集贮存运输技术规范》（HJ2025-2012）相关标准</w:t>
            </w:r>
            <w:r>
              <w:rPr>
                <w:rFonts w:hint="eastAsia"/>
                <w:sz w:val="21"/>
                <w:szCs w:val="21"/>
                <w:u w:val="single"/>
              </w:rPr>
              <w:t>；</w:t>
            </w:r>
            <w:r>
              <w:rPr>
                <w:rFonts w:hint="default"/>
                <w:sz w:val="21"/>
                <w:szCs w:val="21"/>
                <w:u w:val="single"/>
              </w:rPr>
              <w:t>一般固废执行《一般工业固体废物贮存</w:t>
            </w:r>
            <w:r>
              <w:rPr>
                <w:rFonts w:hint="eastAsia"/>
                <w:sz w:val="21"/>
                <w:szCs w:val="21"/>
                <w:u w:val="single"/>
                <w:lang w:eastAsia="zh-CN"/>
              </w:rPr>
              <w:t>和填埋</w:t>
            </w:r>
            <w:r>
              <w:rPr>
                <w:rFonts w:hint="default"/>
                <w:sz w:val="21"/>
                <w:szCs w:val="21"/>
                <w:u w:val="single"/>
              </w:rPr>
              <w:t>污染控制标准》（GB18599-20</w:t>
            </w:r>
            <w:r>
              <w:rPr>
                <w:rFonts w:hint="eastAsia"/>
                <w:sz w:val="21"/>
                <w:szCs w:val="21"/>
                <w:u w:val="single"/>
                <w:lang w:val="en-US" w:eastAsia="zh-CN"/>
              </w:rPr>
              <w:t>20</w:t>
            </w:r>
            <w:r>
              <w:rPr>
                <w:rFonts w:hint="default"/>
                <w:sz w:val="21"/>
                <w:szCs w:val="21"/>
                <w:u w:val="single"/>
              </w:rPr>
              <w:t>）</w:t>
            </w:r>
            <w:r>
              <w:rPr>
                <w:rFonts w:hint="eastAsia"/>
                <w:sz w:val="21"/>
                <w:szCs w:val="21"/>
                <w:u w:val="singl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30" w:hRule="atLeast"/>
          <w:jc w:val="center"/>
        </w:trPr>
        <w:tc>
          <w:tcPr>
            <w:tcW w:w="800" w:type="dxa"/>
            <w:tcBorders>
              <w:top w:val="single" w:color="auto" w:sz="4" w:space="0"/>
              <w:left w:val="single" w:color="auto" w:sz="8" w:space="0"/>
              <w:bottom w:val="single" w:color="auto" w:sz="8"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总量</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控制</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lang w:bidi="ar"/>
              </w:rPr>
              <w:t>指标</w:t>
            </w:r>
          </w:p>
        </w:tc>
        <w:tc>
          <w:tcPr>
            <w:tcW w:w="8190" w:type="dxa"/>
            <w:tcBorders>
              <w:top w:val="single" w:color="auto" w:sz="4" w:space="0"/>
              <w:left w:val="single" w:color="auto" w:sz="4" w:space="0"/>
              <w:bottom w:val="single" w:color="auto" w:sz="8" w:space="0"/>
              <w:right w:val="single" w:color="auto" w:sz="8" w:space="0"/>
            </w:tcBorders>
            <w:shd w:val="clear" w:color="auto" w:fill="auto"/>
            <w:vAlign w:val="center"/>
          </w:tcPr>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653"/>
              <w:gridCol w:w="2654"/>
              <w:gridCol w:w="26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70" w:hRule="atLeast"/>
                <w:jc w:val="center"/>
              </w:trPr>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污染物因子</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总量</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需购买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0" w:hRule="atLeast"/>
                <w:jc w:val="center"/>
              </w:trPr>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COD</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0.1045</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0" w:hRule="atLeast"/>
                <w:jc w:val="center"/>
              </w:trPr>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氨氮</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0.01045</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0" w:hRule="atLeast"/>
                <w:jc w:val="center"/>
              </w:trPr>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V</w:t>
                  </w:r>
                  <w:r>
                    <w:rPr>
                      <w:rFonts w:hint="default"/>
                      <w:szCs w:val="21"/>
                    </w:rPr>
                    <w:t>OC</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0.8392</w:t>
                  </w:r>
                </w:p>
              </w:tc>
              <w:tc>
                <w:tcPr>
                  <w:tcW w:w="1666" w:type="pct"/>
                  <w:shd w:val="clear" w:color="auto" w:fill="auto"/>
                  <w:noWrap/>
                  <w:tcMar>
                    <w:top w:w="15" w:type="dxa"/>
                    <w:left w:w="15" w:type="dxa"/>
                    <w:right w:w="15" w:type="dxa"/>
                  </w:tcMar>
                  <w:vAlign w:val="bottom"/>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w:t>
                  </w:r>
                </w:p>
              </w:tc>
            </w:tr>
          </w:tbl>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sz w:val="21"/>
                <w:szCs w:val="21"/>
              </w:rPr>
            </w:pPr>
            <w:r>
              <w:rPr>
                <w:rFonts w:hint="eastAsia" w:ascii="宋体" w:hAnsi="宋体" w:cs="宋体"/>
                <w:sz w:val="21"/>
                <w:szCs w:val="21"/>
                <w:u w:val="single"/>
              </w:rPr>
              <w:t>注：本项目新增的VOC总量由岳阳市生态环境局经开区分局统一调配。</w:t>
            </w:r>
          </w:p>
        </w:tc>
      </w:tr>
    </w:tbl>
    <w:p>
      <w:pPr>
        <w:pStyle w:val="8"/>
        <w:ind w:firstLine="422"/>
        <w:rPr>
          <w:rFonts w:ascii="黑体" w:eastAsia="黑体" w:cs="黑体"/>
          <w:sz w:val="21"/>
          <w:szCs w:val="21"/>
        </w:rPr>
      </w:pPr>
      <w:r>
        <w:rPr>
          <w:rFonts w:ascii="黑体" w:eastAsia="黑体"/>
          <w:snapToGrid w:val="0"/>
          <w:sz w:val="21"/>
          <w:szCs w:val="21"/>
          <w:lang w:bidi="ar"/>
        </w:rPr>
        <w:br w:type="page"/>
      </w:r>
      <w:bookmarkStart w:id="15" w:name="_Toc16302"/>
      <w:r>
        <w:t>四、主要环境影响和保护措施</w:t>
      </w:r>
      <w:bookmarkEnd w:id="15"/>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47"/>
        <w:gridCol w:w="874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49" w:hRule="atLeast"/>
          <w:jc w:val="center"/>
        </w:trPr>
        <w:tc>
          <w:tcPr>
            <w:tcW w:w="416" w:type="dxa"/>
            <w:tcBorders>
              <w:top w:val="single" w:color="auto" w:sz="8" w:space="0"/>
              <w:left w:val="single" w:color="auto" w:sz="8" w:space="0"/>
              <w:bottom w:val="single" w:color="auto" w:sz="4" w:space="0"/>
              <w:right w:val="single" w:color="auto" w:sz="4" w:space="0"/>
            </w:tcBorders>
            <w:shd w:val="clear" w:color="auto" w:fill="auto"/>
            <w:tcMar>
              <w:left w:w="28" w:type="dxa"/>
              <w:right w:w="28" w:type="dxa"/>
            </w:tcMar>
            <w:vAlign w:val="center"/>
          </w:tcPr>
          <w:p>
            <w:pPr>
              <w:pStyle w:val="22"/>
              <w:keepNext w:val="0"/>
              <w:keepLines w:val="0"/>
              <w:widowControl/>
              <w:suppressLineNumbers w:val="0"/>
              <w:spacing w:before="0" w:beforeAutospacing="0" w:after="0" w:afterAutospacing="0"/>
              <w:ind w:left="0" w:right="0" w:firstLine="0" w:firstLineChars="0"/>
              <w:jc w:val="center"/>
              <w:rPr>
                <w:rFonts w:hint="default" w:cs="宋体"/>
                <w:kern w:val="2"/>
                <w:sz w:val="21"/>
                <w:szCs w:val="21"/>
              </w:rPr>
            </w:pPr>
            <w:r>
              <w:rPr>
                <w:rFonts w:hint="default" w:cs="宋体"/>
                <w:kern w:val="2"/>
                <w:sz w:val="21"/>
                <w:szCs w:val="21"/>
              </w:rPr>
              <w:t>施工</w:t>
            </w:r>
          </w:p>
          <w:p>
            <w:pPr>
              <w:pStyle w:val="22"/>
              <w:keepNext w:val="0"/>
              <w:keepLines w:val="0"/>
              <w:widowControl/>
              <w:suppressLineNumbers w:val="0"/>
              <w:spacing w:before="0" w:beforeAutospacing="0" w:after="0" w:afterAutospacing="0"/>
              <w:ind w:left="0" w:right="0" w:firstLine="0" w:firstLineChars="0"/>
              <w:jc w:val="center"/>
              <w:rPr>
                <w:rFonts w:hint="default" w:cs="宋体"/>
                <w:kern w:val="2"/>
                <w:sz w:val="21"/>
                <w:szCs w:val="21"/>
              </w:rPr>
            </w:pPr>
            <w:r>
              <w:rPr>
                <w:rFonts w:hint="default" w:cs="宋体"/>
                <w:kern w:val="2"/>
                <w:sz w:val="21"/>
                <w:szCs w:val="21"/>
              </w:rPr>
              <w:t>期环</w:t>
            </w:r>
          </w:p>
          <w:p>
            <w:pPr>
              <w:pStyle w:val="22"/>
              <w:keepNext w:val="0"/>
              <w:keepLines w:val="0"/>
              <w:widowControl/>
              <w:suppressLineNumbers w:val="0"/>
              <w:spacing w:before="0" w:beforeAutospacing="0" w:after="0" w:afterAutospacing="0"/>
              <w:ind w:left="0" w:right="0" w:firstLine="0" w:firstLineChars="0"/>
              <w:jc w:val="center"/>
              <w:rPr>
                <w:rFonts w:hint="default" w:cs="宋体"/>
                <w:kern w:val="2"/>
                <w:sz w:val="21"/>
                <w:szCs w:val="21"/>
              </w:rPr>
            </w:pPr>
            <w:r>
              <w:rPr>
                <w:rFonts w:hint="default" w:cs="宋体"/>
                <w:kern w:val="2"/>
                <w:sz w:val="21"/>
                <w:szCs w:val="21"/>
              </w:rPr>
              <w:t>境保</w:t>
            </w:r>
          </w:p>
          <w:p>
            <w:pPr>
              <w:pStyle w:val="22"/>
              <w:keepNext w:val="0"/>
              <w:keepLines w:val="0"/>
              <w:widowControl/>
              <w:suppressLineNumbers w:val="0"/>
              <w:spacing w:before="0" w:beforeAutospacing="0" w:after="0" w:afterAutospacing="0"/>
              <w:ind w:left="0" w:right="0" w:firstLine="0" w:firstLineChars="0"/>
              <w:jc w:val="center"/>
              <w:rPr>
                <w:rFonts w:hint="default" w:cs="宋体"/>
                <w:kern w:val="2"/>
                <w:sz w:val="21"/>
                <w:szCs w:val="21"/>
              </w:rPr>
            </w:pPr>
            <w:r>
              <w:rPr>
                <w:rFonts w:hint="default" w:cs="宋体"/>
                <w:kern w:val="2"/>
                <w:sz w:val="21"/>
                <w:szCs w:val="21"/>
              </w:rPr>
              <w:t>护措</w:t>
            </w:r>
          </w:p>
          <w:p>
            <w:pPr>
              <w:pStyle w:val="22"/>
              <w:keepNext w:val="0"/>
              <w:keepLines w:val="0"/>
              <w:widowControl/>
              <w:suppressLineNumbers w:val="0"/>
              <w:spacing w:before="0" w:beforeAutospacing="0" w:after="0" w:afterAutospacing="0"/>
              <w:ind w:left="0" w:right="0" w:firstLine="0" w:firstLineChars="0"/>
              <w:jc w:val="center"/>
              <w:rPr>
                <w:rFonts w:hint="default" w:cs="宋体"/>
                <w:bCs/>
                <w:kern w:val="2"/>
                <w:sz w:val="21"/>
                <w:szCs w:val="21"/>
              </w:rPr>
            </w:pPr>
            <w:r>
              <w:rPr>
                <w:rFonts w:hint="default" w:cs="宋体"/>
                <w:kern w:val="2"/>
                <w:sz w:val="21"/>
                <w:szCs w:val="21"/>
              </w:rPr>
              <w:t>施</w:t>
            </w:r>
          </w:p>
        </w:tc>
        <w:tc>
          <w:tcPr>
            <w:tcW w:w="8417" w:type="dxa"/>
            <w:tcBorders>
              <w:top w:val="single" w:color="auto" w:sz="8" w:space="0"/>
              <w:left w:val="single" w:color="auto" w:sz="4" w:space="0"/>
              <w:bottom w:val="single" w:color="auto" w:sz="4" w:space="0"/>
              <w:right w:val="single" w:color="auto" w:sz="8" w:space="0"/>
            </w:tcBorders>
            <w:shd w:val="clear" w:color="auto" w:fill="auto"/>
            <w:vAlign w:val="center"/>
          </w:tcPr>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eastAsia" w:cs="Times New Roman"/>
                <w:b/>
                <w:sz w:val="21"/>
                <w:szCs w:val="21"/>
              </w:rPr>
              <w:t>4</w:t>
            </w:r>
            <w:r>
              <w:rPr>
                <w:rFonts w:hint="default" w:cs="Times New Roman"/>
                <w:b/>
                <w:sz w:val="21"/>
                <w:szCs w:val="21"/>
              </w:rPr>
              <w:t>.1</w:t>
            </w:r>
            <w:r>
              <w:rPr>
                <w:rFonts w:hint="eastAsia" w:cs="Times New Roman"/>
                <w:b/>
                <w:sz w:val="21"/>
                <w:szCs w:val="21"/>
              </w:rPr>
              <w:t>施工期</w:t>
            </w:r>
            <w:r>
              <w:rPr>
                <w:rFonts w:hint="default" w:cs="Times New Roman"/>
                <w:b/>
                <w:sz w:val="21"/>
                <w:szCs w:val="21"/>
              </w:rPr>
              <w:t>环境影响和保护措施</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cs="Times New Roman"/>
                <w:b/>
                <w:sz w:val="21"/>
                <w:szCs w:val="21"/>
              </w:rPr>
              <w:t>1、</w:t>
            </w:r>
            <w:r>
              <w:rPr>
                <w:rFonts w:hint="eastAsia" w:cs="Times New Roman"/>
                <w:b/>
                <w:sz w:val="21"/>
                <w:szCs w:val="21"/>
              </w:rPr>
              <w:t>施工期</w:t>
            </w:r>
            <w:r>
              <w:rPr>
                <w:rFonts w:hint="default" w:cs="Times New Roman"/>
                <w:b/>
                <w:sz w:val="21"/>
                <w:szCs w:val="21"/>
              </w:rPr>
              <w:t>废气</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扬尘：本项目施工期的大气污染物主要是扬尘。本项目施工期扬尘主要为土地平整、建筑物基础开挖、地基处理施工过程开挖的土方堆放造成；水泥、砂石、混凝土、土石方等如运输、装卸、仓库储存方式不当，也可能产生扬尘。评价要求施工方必须做好扬尘防护工作，工地不准裸露野蛮施工，在风速大于4m/s时应停止挖、填土方作业；在连续晴天、起风的情况下，对弃土表面洒水；土石方运输过程中会产生一定的扬尘，运输车辆必须加盖苫布，防止运输过程中洒落，减轻对沿线环境空气的影响；施工工地应做到工地封闭作业，减少裸露地面，防止运输撒落物料、及时清理工地等。</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尾气：施工期间车辆运输建筑原材料、施工设备等均会产生尾气，主要污染物为CO、NO</w:t>
            </w:r>
            <w:r>
              <w:rPr>
                <w:rFonts w:hint="default" w:cs="Times New Roman"/>
                <w:sz w:val="21"/>
                <w:szCs w:val="21"/>
                <w:vertAlign w:val="subscript"/>
              </w:rPr>
              <w:t>X</w:t>
            </w:r>
            <w:r>
              <w:rPr>
                <w:rFonts w:hint="default" w:cs="Times New Roman"/>
                <w:sz w:val="21"/>
                <w:szCs w:val="21"/>
              </w:rPr>
              <w:t>。</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cs="Times New Roman"/>
                <w:b/>
                <w:sz w:val="21"/>
                <w:szCs w:val="21"/>
              </w:rPr>
              <w:t>2、</w:t>
            </w:r>
            <w:r>
              <w:rPr>
                <w:rFonts w:hint="eastAsia" w:cs="Times New Roman"/>
                <w:b/>
                <w:sz w:val="21"/>
                <w:szCs w:val="21"/>
              </w:rPr>
              <w:t>施工期</w:t>
            </w:r>
            <w:r>
              <w:rPr>
                <w:rFonts w:hint="default" w:cs="Times New Roman"/>
                <w:b/>
                <w:sz w:val="21"/>
                <w:szCs w:val="21"/>
              </w:rPr>
              <w:t>废水</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施工期的废水排放主要来自于建筑施工人员的生活污水和施工废水。</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施工废水主要包括开挖产生的泥浆水、机械设备运转的冷却水和洗涤水、施工机械运转与维修过程中产生的含油污水、建材清洗废水及运输车辆的冲洗水等，产生总量不大。此外，暴雨地表径流冲刷浮土、建筑砂石、垃圾、弃土等夹带大量泥砂、油类、化学品等各种污染物的污水。根据《湖南省地方标准 用水定额》（DB43/T388-2014），房屋建筑业框架结构房屋用水指标1600L/m</w:t>
            </w:r>
            <w:r>
              <w:rPr>
                <w:rFonts w:hint="default" w:cs="Times New Roman"/>
                <w:sz w:val="21"/>
                <w:szCs w:val="21"/>
                <w:vertAlign w:val="superscript"/>
              </w:rPr>
              <w:t>2</w:t>
            </w:r>
            <w:r>
              <w:rPr>
                <w:rFonts w:hint="default" w:cs="Times New Roman"/>
                <w:sz w:val="21"/>
                <w:szCs w:val="21"/>
              </w:rPr>
              <w:t>，项目本次施工建筑面积约为</w:t>
            </w:r>
            <w:r>
              <w:rPr>
                <w:rFonts w:hint="eastAsia" w:cs="Times New Roman"/>
                <w:sz w:val="21"/>
                <w:szCs w:val="21"/>
                <w:lang w:eastAsia="zh-CN"/>
              </w:rPr>
              <w:t>66249.81</w:t>
            </w:r>
            <w:r>
              <w:rPr>
                <w:rFonts w:hint="default" w:cs="Times New Roman"/>
                <w:sz w:val="21"/>
                <w:szCs w:val="21"/>
              </w:rPr>
              <w:t>m</w:t>
            </w:r>
            <w:r>
              <w:rPr>
                <w:rFonts w:hint="default" w:cs="Times New Roman"/>
                <w:sz w:val="21"/>
                <w:szCs w:val="21"/>
                <w:vertAlign w:val="superscript"/>
              </w:rPr>
              <w:t>2</w:t>
            </w:r>
            <w:r>
              <w:rPr>
                <w:rFonts w:hint="default" w:cs="Times New Roman"/>
                <w:sz w:val="21"/>
                <w:szCs w:val="21"/>
              </w:rPr>
              <w:t>，排污系数按80%，则施工废水排放量约为</w:t>
            </w:r>
            <w:r>
              <w:rPr>
                <w:rFonts w:hint="eastAsia" w:cs="Times New Roman"/>
                <w:sz w:val="21"/>
                <w:szCs w:val="21"/>
              </w:rPr>
              <w:t>84800m³</w:t>
            </w:r>
            <w:r>
              <w:rPr>
                <w:rFonts w:hint="default" w:cs="Times New Roman"/>
                <w:sz w:val="21"/>
                <w:szCs w:val="21"/>
              </w:rPr>
              <w:t>。类比建筑工地废水水质，SS约300mg/L，石油类在6~10mg/L之间。需在施工场地内建设临时沉淀池，施工废水经沉淀后全部用作施工用水，不外排。</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生活污水按在此期间日均施工人员</w:t>
            </w:r>
            <w:r>
              <w:rPr>
                <w:rFonts w:hint="eastAsia" w:cs="Times New Roman"/>
                <w:sz w:val="21"/>
                <w:szCs w:val="21"/>
              </w:rPr>
              <w:t>1</w:t>
            </w:r>
            <w:r>
              <w:rPr>
                <w:rFonts w:hint="default" w:cs="Times New Roman"/>
                <w:sz w:val="21"/>
                <w:szCs w:val="21"/>
              </w:rPr>
              <w:t>0人计，生活用水量按100L/人·d，则生活用水量为</w:t>
            </w:r>
            <w:r>
              <w:rPr>
                <w:rFonts w:hint="eastAsia" w:cs="Times New Roman"/>
                <w:sz w:val="21"/>
                <w:szCs w:val="21"/>
              </w:rPr>
              <w:t>1</w:t>
            </w:r>
            <w:r>
              <w:rPr>
                <w:rFonts w:hint="default" w:cs="Times New Roman"/>
                <w:sz w:val="21"/>
                <w:szCs w:val="21"/>
              </w:rPr>
              <w:t>t/d，施工时间按</w:t>
            </w:r>
            <w:r>
              <w:rPr>
                <w:rFonts w:hint="eastAsia" w:cs="Times New Roman"/>
                <w:sz w:val="21"/>
                <w:szCs w:val="21"/>
              </w:rPr>
              <w:t>7</w:t>
            </w:r>
            <w:r>
              <w:rPr>
                <w:rFonts w:hint="default" w:cs="Times New Roman"/>
                <w:sz w:val="21"/>
                <w:szCs w:val="21"/>
              </w:rPr>
              <w:t>个月计，施工期生活用水总量为</w:t>
            </w:r>
            <w:r>
              <w:rPr>
                <w:rFonts w:hint="eastAsia" w:cs="Times New Roman"/>
                <w:sz w:val="21"/>
                <w:szCs w:val="21"/>
              </w:rPr>
              <w:t>240</w:t>
            </w:r>
            <w:r>
              <w:rPr>
                <w:rFonts w:hint="default" w:cs="Times New Roman"/>
                <w:sz w:val="21"/>
                <w:szCs w:val="21"/>
              </w:rPr>
              <w:t>t。生活污水的排放量按用水量的80%计算，则生活污水的排放量为</w:t>
            </w:r>
            <w:r>
              <w:rPr>
                <w:rFonts w:hint="eastAsia" w:cs="Times New Roman"/>
                <w:sz w:val="21"/>
                <w:szCs w:val="21"/>
              </w:rPr>
              <w:t>0.8</w:t>
            </w:r>
            <w:r>
              <w:rPr>
                <w:rFonts w:hint="default" w:cs="Times New Roman"/>
                <w:sz w:val="21"/>
                <w:szCs w:val="21"/>
              </w:rPr>
              <w:t>t/d，施工期总排放量为</w:t>
            </w:r>
            <w:r>
              <w:rPr>
                <w:rFonts w:hint="eastAsia" w:cs="Times New Roman"/>
                <w:sz w:val="21"/>
                <w:szCs w:val="21"/>
              </w:rPr>
              <w:t>168</w:t>
            </w:r>
            <w:r>
              <w:rPr>
                <w:rFonts w:hint="default" w:cs="Times New Roman"/>
                <w:sz w:val="21"/>
                <w:szCs w:val="21"/>
              </w:rPr>
              <w:t>t。主要污染因子为COD、BOD</w:t>
            </w:r>
            <w:r>
              <w:rPr>
                <w:rFonts w:hint="default" w:cs="Times New Roman"/>
                <w:sz w:val="21"/>
                <w:szCs w:val="21"/>
                <w:vertAlign w:val="subscript"/>
              </w:rPr>
              <w:t>5</w:t>
            </w:r>
            <w:r>
              <w:rPr>
                <w:rFonts w:hint="default" w:cs="Times New Roman"/>
                <w:sz w:val="21"/>
                <w:szCs w:val="21"/>
              </w:rPr>
              <w:t>、SS、NH</w:t>
            </w:r>
            <w:r>
              <w:rPr>
                <w:rFonts w:hint="default" w:cs="Times New Roman"/>
                <w:sz w:val="21"/>
                <w:szCs w:val="21"/>
                <w:vertAlign w:val="subscript"/>
              </w:rPr>
              <w:t>3</w:t>
            </w:r>
            <w:r>
              <w:rPr>
                <w:rFonts w:hint="default" w:cs="Times New Roman"/>
                <w:sz w:val="21"/>
                <w:szCs w:val="21"/>
              </w:rPr>
              <w:t>-N等。据类比调查，生活污水水质为COD 350mg/L、BOD</w:t>
            </w:r>
            <w:r>
              <w:rPr>
                <w:rFonts w:hint="default" w:cs="Times New Roman"/>
                <w:sz w:val="21"/>
                <w:szCs w:val="21"/>
                <w:vertAlign w:val="subscript"/>
              </w:rPr>
              <w:t>5</w:t>
            </w:r>
            <w:r>
              <w:rPr>
                <w:rFonts w:hint="default" w:cs="Times New Roman"/>
                <w:sz w:val="21"/>
                <w:szCs w:val="21"/>
              </w:rPr>
              <w:t xml:space="preserve"> 200mg/L、SS 300mg/L、NH</w:t>
            </w:r>
            <w:r>
              <w:rPr>
                <w:rFonts w:hint="default" w:cs="Times New Roman"/>
                <w:sz w:val="21"/>
                <w:szCs w:val="21"/>
                <w:vertAlign w:val="subscript"/>
              </w:rPr>
              <w:t>3</w:t>
            </w:r>
            <w:r>
              <w:rPr>
                <w:rFonts w:hint="default" w:cs="Times New Roman"/>
                <w:sz w:val="21"/>
                <w:szCs w:val="21"/>
              </w:rPr>
              <w:t>-N 30mg/L。项目施工期设置</w:t>
            </w:r>
            <w:r>
              <w:rPr>
                <w:rFonts w:hint="eastAsia" w:cs="Times New Roman"/>
                <w:sz w:val="21"/>
                <w:szCs w:val="21"/>
              </w:rPr>
              <w:t>临时</w:t>
            </w:r>
            <w:r>
              <w:rPr>
                <w:rFonts w:hint="default" w:cs="Times New Roman"/>
                <w:sz w:val="21"/>
                <w:szCs w:val="21"/>
              </w:rPr>
              <w:t>化粪池</w:t>
            </w:r>
            <w:r>
              <w:rPr>
                <w:rFonts w:hint="eastAsia" w:cs="Times New Roman"/>
                <w:sz w:val="21"/>
                <w:szCs w:val="21"/>
              </w:rPr>
              <w:t>进行处理</w:t>
            </w:r>
            <w:r>
              <w:rPr>
                <w:rFonts w:hint="default" w:cs="Times New Roman"/>
                <w:sz w:val="21"/>
                <w:szCs w:val="21"/>
              </w:rPr>
              <w:t>，生活污水经化粪池处理后排至市政污水管网。</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cs="Times New Roman"/>
                <w:b/>
                <w:sz w:val="21"/>
                <w:szCs w:val="21"/>
              </w:rPr>
              <w:t>3、</w:t>
            </w:r>
            <w:r>
              <w:rPr>
                <w:rFonts w:hint="eastAsia" w:cs="Times New Roman"/>
                <w:b/>
                <w:sz w:val="21"/>
                <w:szCs w:val="21"/>
              </w:rPr>
              <w:t>施工期</w:t>
            </w:r>
            <w:r>
              <w:rPr>
                <w:rFonts w:hint="default" w:cs="Times New Roman"/>
                <w:b/>
                <w:sz w:val="21"/>
                <w:szCs w:val="21"/>
              </w:rPr>
              <w:t>噪声</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施工期噪声污染源包括施工机械噪声及交通运输噪声。</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eastAsia" w:ascii="宋体" w:hAnsi="宋体" w:cs="宋体"/>
                <w:sz w:val="21"/>
                <w:szCs w:val="21"/>
              </w:rPr>
              <w:t>①</w:t>
            </w:r>
            <w:r>
              <w:rPr>
                <w:rFonts w:hint="default" w:cs="Times New Roman"/>
                <w:sz w:val="21"/>
                <w:szCs w:val="21"/>
              </w:rPr>
              <w:t>项目施工期间，作业机械运行时噪声较高，这些非稳态噪声源将对周围环境产生较大的影响，施工机械噪声一般声源小于85dB(A)，但冲击式打桩机、混凝土振动器的噪声高达95dB(A)，是影响施工区的主要噪声源。</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eastAsia" w:ascii="宋体" w:hAnsi="宋体" w:cs="宋体"/>
                <w:sz w:val="21"/>
                <w:szCs w:val="21"/>
              </w:rPr>
              <w:t>②</w:t>
            </w:r>
            <w:r>
              <w:rPr>
                <w:rFonts w:hint="default" w:cs="Times New Roman"/>
                <w:sz w:val="21"/>
                <w:szCs w:val="21"/>
              </w:rPr>
              <w:t>建筑材料运输时，噪声级一般为75-85dB(A)，运输车辆产生的噪声将对运输道路沿线环境造成影响。</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cs="Times New Roman"/>
                <w:b/>
                <w:sz w:val="21"/>
                <w:szCs w:val="21"/>
              </w:rPr>
              <w:t>4、</w:t>
            </w:r>
            <w:r>
              <w:rPr>
                <w:rFonts w:hint="eastAsia" w:cs="Times New Roman"/>
                <w:b/>
                <w:sz w:val="21"/>
                <w:szCs w:val="21"/>
              </w:rPr>
              <w:t>施工期</w:t>
            </w:r>
            <w:r>
              <w:rPr>
                <w:rFonts w:hint="default" w:cs="Times New Roman"/>
                <w:b/>
                <w:sz w:val="21"/>
                <w:szCs w:val="21"/>
              </w:rPr>
              <w:t>固体废物</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施工期固体废物主要为施工人员生活垃圾、建筑垃圾以及弃土弃渣等。</w:t>
            </w:r>
          </w:p>
          <w:p>
            <w:pPr>
              <w:keepNext w:val="0"/>
              <w:keepLines w:val="0"/>
              <w:widowControl/>
              <w:suppressLineNumbers w:val="0"/>
              <w:spacing w:before="0" w:beforeAutospacing="0" w:after="0" w:afterAutospacing="0"/>
              <w:ind w:left="0" w:right="0" w:firstLine="420"/>
              <w:rPr>
                <w:rFonts w:hint="default" w:cs="Times New Roman" w:eastAsiaTheme="minorEastAsia"/>
                <w:sz w:val="21"/>
                <w:szCs w:val="21"/>
              </w:rPr>
            </w:pPr>
            <w:r>
              <w:rPr>
                <w:rFonts w:hint="default" w:cs="Times New Roman"/>
                <w:sz w:val="21"/>
                <w:szCs w:val="21"/>
              </w:rPr>
              <w:t>施工过程中产生的建筑垃圾按每100m</w:t>
            </w:r>
            <w:r>
              <w:rPr>
                <w:rFonts w:hint="default" w:cs="Times New Roman"/>
                <w:sz w:val="21"/>
                <w:szCs w:val="21"/>
                <w:vertAlign w:val="superscript"/>
              </w:rPr>
              <w:t>2</w:t>
            </w:r>
            <w:r>
              <w:rPr>
                <w:rFonts w:hint="default" w:cs="Times New Roman"/>
                <w:sz w:val="21"/>
                <w:szCs w:val="21"/>
              </w:rPr>
              <w:t>建筑面积1.5t计，则将产生建筑垃圾</w:t>
            </w:r>
            <w:r>
              <w:rPr>
                <w:rFonts w:hint="eastAsia" w:cs="Times New Roman"/>
                <w:sz w:val="21"/>
                <w:szCs w:val="21"/>
              </w:rPr>
              <w:t>25</w:t>
            </w:r>
            <w:r>
              <w:rPr>
                <w:rFonts w:hint="default" w:cs="Times New Roman"/>
                <w:sz w:val="21"/>
                <w:szCs w:val="21"/>
              </w:rPr>
              <w:t>t。施工人员生活垃圾产生量按每人每日0.5kg计，每日平均施工人员</w:t>
            </w:r>
            <w:r>
              <w:rPr>
                <w:rFonts w:hint="eastAsia" w:cs="Times New Roman"/>
                <w:sz w:val="21"/>
                <w:szCs w:val="21"/>
              </w:rPr>
              <w:t>1</w:t>
            </w:r>
            <w:r>
              <w:rPr>
                <w:rFonts w:hint="default" w:cs="Times New Roman"/>
                <w:sz w:val="21"/>
                <w:szCs w:val="21"/>
              </w:rPr>
              <w:t>0名，则产生生活垃圾</w:t>
            </w:r>
            <w:r>
              <w:rPr>
                <w:rFonts w:hint="eastAsia" w:cs="Times New Roman"/>
                <w:sz w:val="21"/>
                <w:szCs w:val="21"/>
              </w:rPr>
              <w:t>5</w:t>
            </w:r>
            <w:r>
              <w:rPr>
                <w:rFonts w:hint="default" w:cs="Times New Roman"/>
                <w:sz w:val="21"/>
                <w:szCs w:val="21"/>
              </w:rPr>
              <w:t>kg/d</w:t>
            </w:r>
            <w:r>
              <w:rPr>
                <w:rFonts w:hint="eastAsia" w:cs="Times New Roman"/>
                <w:sz w:val="21"/>
                <w:szCs w:val="21"/>
              </w:rPr>
              <w:t>，由环卫部门处理</w:t>
            </w:r>
            <w:r>
              <w:rPr>
                <w:rFonts w:hint="default" w:cs="Times New Roman"/>
                <w:sz w:val="21"/>
                <w:szCs w:val="21"/>
              </w:rPr>
              <w:t>。建筑垃圾</w:t>
            </w:r>
            <w:r>
              <w:rPr>
                <w:rFonts w:hint="eastAsia" w:cs="Times New Roman"/>
                <w:sz w:val="21"/>
                <w:szCs w:val="21"/>
              </w:rPr>
              <w:t>、</w:t>
            </w:r>
            <w:r>
              <w:rPr>
                <w:rFonts w:hint="default" w:cs="Times New Roman"/>
                <w:sz w:val="21"/>
                <w:szCs w:val="21"/>
              </w:rPr>
              <w:t>弃土弃渣</w:t>
            </w:r>
            <w:r>
              <w:rPr>
                <w:rFonts w:hint="eastAsia" w:cs="Times New Roman"/>
                <w:sz w:val="21"/>
                <w:szCs w:val="21"/>
              </w:rPr>
              <w:t>由岳阳市渣土部门统一管理处置。</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cs="Times New Roman"/>
                <w:b/>
                <w:sz w:val="21"/>
                <w:szCs w:val="21"/>
              </w:rPr>
              <w:t>5、</w:t>
            </w:r>
            <w:r>
              <w:rPr>
                <w:rFonts w:hint="eastAsia" w:cs="Times New Roman"/>
                <w:b/>
                <w:sz w:val="21"/>
                <w:szCs w:val="21"/>
              </w:rPr>
              <w:t>施工期</w:t>
            </w:r>
            <w:r>
              <w:rPr>
                <w:rFonts w:hint="default" w:cs="Times New Roman"/>
                <w:b/>
                <w:sz w:val="21"/>
                <w:szCs w:val="21"/>
              </w:rPr>
              <w:t>水土流失</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由于开挖地面、机械碾压等原因，施工破坏了原有的地貌和植被，扰动了表土结构，致使土壤抗蚀能力降低，裸露的土壤极易被降雨径流冲刷而产生水土流失，特别是暴雨时冲刷更为严重。</w:t>
            </w:r>
            <w:r>
              <w:rPr>
                <w:rFonts w:hint="eastAsia" w:cs="Times New Roman"/>
                <w:sz w:val="21"/>
                <w:szCs w:val="21"/>
              </w:rPr>
              <w:t>注意防护施工期水土流失。</w:t>
            </w:r>
          </w:p>
          <w:p>
            <w:pPr>
              <w:keepNext w:val="0"/>
              <w:keepLines w:val="0"/>
              <w:widowControl w:val="0"/>
              <w:suppressLineNumbers w:val="0"/>
              <w:spacing w:before="0" w:beforeAutospacing="0" w:after="0" w:afterAutospacing="0"/>
              <w:ind w:left="0" w:right="0" w:firstLine="0" w:firstLineChars="0"/>
              <w:jc w:val="both"/>
              <w:rPr>
                <w:rFonts w:hint="default" w:ascii="宋体" w:hAnsi="宋体" w:cs="宋体"/>
                <w:bCs/>
                <w:spacing w:val="-10"/>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10" w:hRule="atLeast"/>
          <w:jc w:val="center"/>
        </w:trPr>
        <w:tc>
          <w:tcPr>
            <w:tcW w:w="416" w:type="dxa"/>
            <w:tcBorders>
              <w:top w:val="single" w:color="auto" w:sz="4" w:space="0"/>
              <w:left w:val="single" w:color="auto" w:sz="8" w:space="0"/>
              <w:bottom w:val="single" w:color="auto" w:sz="8" w:space="0"/>
              <w:right w:val="single" w:color="auto" w:sz="4" w:space="0"/>
            </w:tcBorders>
            <w:shd w:val="clear" w:color="auto" w:fill="auto"/>
            <w:tcMar>
              <w:left w:w="28" w:type="dxa"/>
              <w:right w:w="28" w:type="dxa"/>
            </w:tcMar>
            <w:vAlign w:val="center"/>
          </w:tcPr>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bCs/>
                <w:sz w:val="21"/>
                <w:szCs w:val="21"/>
              </w:rPr>
            </w:pPr>
            <w:r>
              <w:rPr>
                <w:rFonts w:hint="eastAsia" w:ascii="宋体" w:hAnsi="宋体" w:cs="宋体"/>
                <w:bCs/>
                <w:kern w:val="2"/>
                <w:sz w:val="21"/>
                <w:szCs w:val="21"/>
                <w:lang w:bidi="ar"/>
              </w:rPr>
              <w:t>运营</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bCs/>
                <w:sz w:val="21"/>
                <w:szCs w:val="21"/>
              </w:rPr>
            </w:pPr>
            <w:r>
              <w:rPr>
                <w:rFonts w:hint="eastAsia" w:ascii="宋体" w:hAnsi="宋体" w:cs="宋体"/>
                <w:bCs/>
                <w:kern w:val="2"/>
                <w:sz w:val="21"/>
                <w:szCs w:val="21"/>
                <w:lang w:bidi="ar"/>
              </w:rPr>
              <w:t>期环</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bCs/>
                <w:sz w:val="21"/>
                <w:szCs w:val="21"/>
              </w:rPr>
            </w:pPr>
            <w:r>
              <w:rPr>
                <w:rFonts w:hint="eastAsia" w:ascii="宋体" w:hAnsi="宋体" w:cs="宋体"/>
                <w:bCs/>
                <w:kern w:val="2"/>
                <w:sz w:val="21"/>
                <w:szCs w:val="21"/>
                <w:lang w:bidi="ar"/>
              </w:rPr>
              <w:t>境影</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bCs/>
                <w:sz w:val="21"/>
                <w:szCs w:val="21"/>
              </w:rPr>
            </w:pPr>
            <w:r>
              <w:rPr>
                <w:rFonts w:hint="eastAsia" w:ascii="宋体" w:hAnsi="宋体" w:cs="宋体"/>
                <w:bCs/>
                <w:kern w:val="2"/>
                <w:sz w:val="21"/>
                <w:szCs w:val="21"/>
                <w:lang w:bidi="ar"/>
              </w:rPr>
              <w:t>响和</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bCs/>
                <w:sz w:val="21"/>
                <w:szCs w:val="21"/>
              </w:rPr>
            </w:pPr>
            <w:r>
              <w:rPr>
                <w:rFonts w:hint="eastAsia" w:ascii="宋体" w:hAnsi="宋体" w:cs="宋体"/>
                <w:bCs/>
                <w:kern w:val="2"/>
                <w:sz w:val="21"/>
                <w:szCs w:val="21"/>
                <w:lang w:bidi="ar"/>
              </w:rPr>
              <w:t>保护</w:t>
            </w:r>
          </w:p>
          <w:p>
            <w:pPr>
              <w:keepNext w:val="0"/>
              <w:keepLines w:val="0"/>
              <w:widowControl w:val="0"/>
              <w:suppressLineNumbers w:val="0"/>
              <w:spacing w:before="0" w:beforeAutospacing="0" w:after="0" w:afterAutospacing="0"/>
              <w:ind w:left="0" w:right="0" w:firstLine="0" w:firstLineChars="0"/>
              <w:jc w:val="center"/>
              <w:rPr>
                <w:rFonts w:hint="default" w:ascii="宋体" w:hAnsi="宋体" w:cs="宋体"/>
                <w:bCs/>
                <w:sz w:val="21"/>
                <w:szCs w:val="21"/>
              </w:rPr>
            </w:pPr>
            <w:r>
              <w:rPr>
                <w:rFonts w:hint="eastAsia" w:ascii="宋体" w:hAnsi="宋体" w:cs="宋体"/>
                <w:bCs/>
                <w:kern w:val="2"/>
                <w:sz w:val="21"/>
                <w:szCs w:val="21"/>
                <w:lang w:bidi="ar"/>
              </w:rPr>
              <w:t>措施</w:t>
            </w:r>
          </w:p>
        </w:tc>
        <w:tc>
          <w:tcPr>
            <w:tcW w:w="8417" w:type="dxa"/>
            <w:tcBorders>
              <w:top w:val="single" w:color="auto" w:sz="4" w:space="0"/>
              <w:left w:val="single" w:color="auto" w:sz="4"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ind w:left="0" w:right="0" w:firstLine="420"/>
              <w:rPr>
                <w:rFonts w:hint="default" w:cs="Times New Roman" w:eastAsiaTheme="minorEastAsia"/>
                <w:b/>
                <w:sz w:val="21"/>
                <w:szCs w:val="21"/>
              </w:rPr>
            </w:pPr>
            <w:r>
              <w:rPr>
                <w:rFonts w:hint="eastAsia" w:cs="Times New Roman" w:eastAsiaTheme="minorEastAsia"/>
                <w:b/>
                <w:sz w:val="21"/>
                <w:szCs w:val="21"/>
              </w:rPr>
              <w:t>4</w:t>
            </w:r>
            <w:r>
              <w:rPr>
                <w:rFonts w:hint="default" w:cs="Times New Roman" w:eastAsiaTheme="minorEastAsia"/>
                <w:b/>
                <w:sz w:val="21"/>
                <w:szCs w:val="21"/>
              </w:rPr>
              <w:t>.2</w:t>
            </w:r>
            <w:r>
              <w:rPr>
                <w:rFonts w:hint="eastAsia" w:cs="Times New Roman" w:eastAsiaTheme="minorEastAsia"/>
                <w:b/>
                <w:sz w:val="21"/>
                <w:szCs w:val="21"/>
              </w:rPr>
              <w:t>运营期</w:t>
            </w:r>
            <w:r>
              <w:rPr>
                <w:rFonts w:hint="default" w:cs="Times New Roman" w:eastAsiaTheme="minorEastAsia"/>
                <w:b/>
                <w:sz w:val="21"/>
                <w:szCs w:val="21"/>
              </w:rPr>
              <w:t>环境影响和保护措施</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eastAsia="Times New Roman" w:cs="Times New Roman"/>
                <w:b/>
                <w:sz w:val="21"/>
                <w:szCs w:val="21"/>
              </w:rPr>
              <w:t>4.</w:t>
            </w:r>
            <w:r>
              <w:rPr>
                <w:rFonts w:hint="default" w:cs="Times New Roman" w:eastAsiaTheme="minorEastAsia"/>
                <w:b/>
                <w:sz w:val="21"/>
                <w:szCs w:val="21"/>
              </w:rPr>
              <w:t>2</w:t>
            </w:r>
            <w:r>
              <w:rPr>
                <w:rFonts w:hint="default" w:eastAsia="Times New Roman" w:cs="Times New Roman"/>
                <w:b/>
                <w:sz w:val="21"/>
                <w:szCs w:val="21"/>
              </w:rPr>
              <w:t>.1</w:t>
            </w:r>
            <w:r>
              <w:rPr>
                <w:rFonts w:hint="default" w:cs="Times New Roman"/>
                <w:b/>
                <w:sz w:val="21"/>
                <w:szCs w:val="21"/>
              </w:rPr>
              <w:t>营运期环境空气影响分析</w:t>
            </w:r>
          </w:p>
          <w:p>
            <w:pPr>
              <w:keepNext w:val="0"/>
              <w:keepLines w:val="0"/>
              <w:widowControl/>
              <w:suppressLineNumbers w:val="0"/>
              <w:spacing w:before="0" w:beforeAutospacing="0" w:after="0" w:afterAutospacing="0"/>
              <w:ind w:left="0" w:right="0" w:firstLine="422"/>
              <w:rPr>
                <w:rFonts w:hint="default"/>
                <w:b/>
                <w:bCs/>
                <w:sz w:val="21"/>
                <w:szCs w:val="21"/>
              </w:rPr>
            </w:pPr>
            <w:r>
              <w:rPr>
                <w:rFonts w:hint="eastAsia"/>
                <w:b/>
                <w:bCs/>
                <w:sz w:val="21"/>
                <w:szCs w:val="21"/>
              </w:rPr>
              <w:t>4</w:t>
            </w:r>
            <w:r>
              <w:rPr>
                <w:rFonts w:hint="default"/>
                <w:b/>
                <w:bCs/>
                <w:sz w:val="21"/>
                <w:szCs w:val="21"/>
              </w:rPr>
              <w:t>.2.1.1</w:t>
            </w:r>
            <w:r>
              <w:rPr>
                <w:rFonts w:hint="eastAsia"/>
                <w:b/>
                <w:bCs/>
                <w:sz w:val="21"/>
                <w:szCs w:val="21"/>
              </w:rPr>
              <w:t>废气源强核算</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1、焊接烟气</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default"/>
                <w:sz w:val="21"/>
                <w:szCs w:val="21"/>
                <w:u w:val="single"/>
              </w:rPr>
              <w:t>本项目所用焊丝为</w:t>
            </w:r>
            <w:r>
              <w:rPr>
                <w:rFonts w:hint="eastAsia"/>
                <w:sz w:val="21"/>
                <w:szCs w:val="21"/>
                <w:u w:val="single"/>
              </w:rPr>
              <w:t>25</w:t>
            </w:r>
            <w:r>
              <w:rPr>
                <w:rFonts w:hint="default"/>
                <w:sz w:val="21"/>
                <w:szCs w:val="21"/>
                <w:u w:val="single"/>
              </w:rPr>
              <w:t>0t/a，焊接工艺主要有电弧焊、二氧化碳气体保护焊、氩弧焊和自动埋弧焊。</w:t>
            </w:r>
            <w:r>
              <w:rPr>
                <w:rFonts w:hint="eastAsia"/>
                <w:sz w:val="21"/>
                <w:szCs w:val="21"/>
                <w:u w:val="single"/>
              </w:rPr>
              <w:t>采用《第二次全国污染源普查工业污染源产排污系数手册》（2019年试用版）中“33 金属制品业”的系数进行计算。</w:t>
            </w:r>
          </w:p>
          <w:tbl>
            <w:tblPr>
              <w:tblStyle w:val="2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64"/>
              <w:gridCol w:w="4691"/>
              <w:gridCol w:w="19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9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产污环节</w:t>
                  </w:r>
                </w:p>
              </w:tc>
              <w:tc>
                <w:tcPr>
                  <w:tcW w:w="2754"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产污系数（千克/吨-原料）</w:t>
                  </w:r>
                </w:p>
              </w:tc>
              <w:tc>
                <w:tcPr>
                  <w:tcW w:w="115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9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焊接</w:t>
                  </w:r>
                </w:p>
              </w:tc>
              <w:tc>
                <w:tcPr>
                  <w:tcW w:w="2754"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20.5</w:t>
                  </w:r>
                </w:p>
              </w:tc>
              <w:tc>
                <w:tcPr>
                  <w:tcW w:w="115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5125千克</w:t>
                  </w:r>
                </w:p>
              </w:tc>
            </w:tr>
          </w:tbl>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采用移动式烟尘净化器系统处理，《第二次全国污染源普查工业污染源产排污系数手册》（2019年试用版）“33 金属制品业”中移动式烟尘净化器的处理效率为95%，排放量为5125千克</w:t>
            </w:r>
            <w:r>
              <w:rPr>
                <w:rFonts w:hint="default"/>
                <w:sz w:val="21"/>
                <w:szCs w:val="21"/>
                <w:u w:val="single"/>
              </w:rPr>
              <w:t>×</w:t>
            </w:r>
            <w:r>
              <w:rPr>
                <w:rFonts w:hint="eastAsia"/>
                <w:sz w:val="21"/>
                <w:szCs w:val="21"/>
                <w:u w:val="single"/>
              </w:rPr>
              <w:t>（1-95%）=256.25千克。</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93"/>
              <w:gridCol w:w="2174"/>
              <w:gridCol w:w="2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7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污染物指标</w:t>
                  </w:r>
                </w:p>
              </w:tc>
              <w:tc>
                <w:tcPr>
                  <w:tcW w:w="117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排放方式</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7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颗粒物</w:t>
                  </w:r>
                </w:p>
              </w:tc>
              <w:tc>
                <w:tcPr>
                  <w:tcW w:w="117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5125千克</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无组织排放</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256.25千克</w:t>
                  </w:r>
                </w:p>
              </w:tc>
            </w:tr>
          </w:tbl>
          <w:p>
            <w:pPr>
              <w:keepNext w:val="0"/>
              <w:keepLines w:val="0"/>
              <w:widowControl/>
              <w:suppressLineNumbers w:val="0"/>
              <w:spacing w:before="0" w:beforeAutospacing="0" w:after="0" w:afterAutospacing="0"/>
              <w:ind w:left="0" w:right="0" w:firstLine="420"/>
              <w:rPr>
                <w:rFonts w:hint="default"/>
                <w:sz w:val="21"/>
                <w:szCs w:val="21"/>
              </w:rPr>
            </w:pP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2、喷砂废气</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采用《第二次全国污染源普查工业污染源产排污系数手册》（2019年试用版）中“33 金属制品业”的系数进行计算，本项目所用钢砂量为80t/a。</w:t>
            </w:r>
          </w:p>
          <w:tbl>
            <w:tblPr>
              <w:tblStyle w:val="2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64"/>
              <w:gridCol w:w="4691"/>
              <w:gridCol w:w="19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9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产污环节</w:t>
                  </w:r>
                </w:p>
              </w:tc>
              <w:tc>
                <w:tcPr>
                  <w:tcW w:w="2754"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产污系数（千克/吨-原料）</w:t>
                  </w:r>
                </w:p>
              </w:tc>
              <w:tc>
                <w:tcPr>
                  <w:tcW w:w="115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9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喷砂</w:t>
                  </w:r>
                </w:p>
              </w:tc>
              <w:tc>
                <w:tcPr>
                  <w:tcW w:w="2754"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2.19</w:t>
                  </w:r>
                </w:p>
              </w:tc>
              <w:tc>
                <w:tcPr>
                  <w:tcW w:w="115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175.2千克</w:t>
                  </w:r>
                </w:p>
              </w:tc>
            </w:tr>
          </w:tbl>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喷砂工序在封闭的喷砂房中进行，采用水浴进行处理，通过管道抽风将废气引到水浴池中，废气中的渣沉淀到水浴池中，水浴池容积约为4m³，水浴池中的有效水量为2m³。</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cs="Times New Roman"/>
                <w:bCs/>
                <w:sz w:val="21"/>
                <w:szCs w:val="21"/>
                <w:u w:val="single"/>
              </w:rPr>
              <w:t>无组织废气计算：密闭的封闭的喷砂房</w:t>
            </w:r>
            <w:r>
              <w:rPr>
                <w:rFonts w:hint="eastAsia"/>
                <w:sz w:val="21"/>
                <w:szCs w:val="21"/>
                <w:u w:val="single"/>
              </w:rPr>
              <w:t>收集废气的效率为9</w:t>
            </w:r>
            <w:r>
              <w:rPr>
                <w:rFonts w:hint="default"/>
                <w:sz w:val="21"/>
                <w:szCs w:val="21"/>
                <w:u w:val="single"/>
              </w:rPr>
              <w:t>0%</w:t>
            </w:r>
            <w:r>
              <w:rPr>
                <w:rFonts w:hint="eastAsia"/>
                <w:sz w:val="21"/>
                <w:szCs w:val="21"/>
                <w:u w:val="single"/>
              </w:rPr>
              <w:t>以上，未收集的废气量为10%以下，按10%计，则颗粒物的无组织排放量为175.2千克</w:t>
            </w:r>
            <w:r>
              <w:rPr>
                <w:rFonts w:hint="default"/>
                <w:sz w:val="21"/>
                <w:szCs w:val="21"/>
                <w:u w:val="single"/>
              </w:rPr>
              <w:t>×</w:t>
            </w:r>
            <w:r>
              <w:rPr>
                <w:rFonts w:hint="eastAsia"/>
                <w:sz w:val="21"/>
                <w:szCs w:val="21"/>
                <w:u w:val="single"/>
              </w:rPr>
              <w:t>10%=17.52千克。</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u w:val="single"/>
              </w:rPr>
              <w:t>《第二次全国污染源普查工业污染源产排污系数手册》（2019年试用版）“33 金属制品业”中水浴处理效率为85%，则年排放量=-（175.2千克-17.52千克）</w:t>
            </w:r>
            <w:r>
              <w:rPr>
                <w:rFonts w:hint="default"/>
                <w:sz w:val="21"/>
                <w:szCs w:val="21"/>
                <w:u w:val="single"/>
              </w:rPr>
              <w:t>×</w:t>
            </w:r>
            <w:r>
              <w:rPr>
                <w:rFonts w:hint="eastAsia"/>
                <w:sz w:val="21"/>
                <w:szCs w:val="21"/>
                <w:u w:val="single"/>
              </w:rPr>
              <w:t>（1-85%）=23.652千克。因为采用水浴进行处理，没有设置排气筒，所以属于无组织排放。</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93"/>
              <w:gridCol w:w="2174"/>
              <w:gridCol w:w="2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污染物指标</w:t>
                  </w:r>
                </w:p>
              </w:tc>
              <w:tc>
                <w:tcPr>
                  <w:tcW w:w="117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排放方式</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restar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颗粒物</w:t>
                  </w:r>
                </w:p>
              </w:tc>
              <w:tc>
                <w:tcPr>
                  <w:tcW w:w="1170" w:type="pct"/>
                  <w:vMerge w:val="restar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175.2千克</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无组织排放</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23.652千克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continue"/>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p>
              </w:tc>
              <w:tc>
                <w:tcPr>
                  <w:tcW w:w="1170" w:type="pct"/>
                  <w:vMerge w:val="continue"/>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无组织排放</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17.52千克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合计</w:t>
                  </w:r>
                </w:p>
              </w:tc>
              <w:tc>
                <w:tcPr>
                  <w:tcW w:w="117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41.172千克</w:t>
                  </w:r>
                </w:p>
              </w:tc>
            </w:tr>
          </w:tbl>
          <w:p>
            <w:pPr>
              <w:keepNext w:val="0"/>
              <w:keepLines w:val="0"/>
              <w:widowControl/>
              <w:suppressLineNumbers w:val="0"/>
              <w:spacing w:before="0" w:beforeAutospacing="0" w:after="0" w:afterAutospacing="0"/>
              <w:ind w:left="0" w:right="0" w:firstLine="420"/>
              <w:rPr>
                <w:rFonts w:hint="default"/>
                <w:sz w:val="21"/>
                <w:szCs w:val="21"/>
              </w:rPr>
            </w:pP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3、切割废气</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本项目使用数控切割机对钢材进行切割，切割使用的助燃气体为氧气，使用的燃气为丙烷或者乙炔，燃烧产生的污染物为二氧化碳和水，不进行评价。</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切割过程会产生少量颗粒物，产生量按照《第二次全国污染源普查工业污染源产排污系数手册》（2019年试用版）中的“33 金属制品业”中产污系数进行计算。本项目所用的钢原料为32500t/a。</w:t>
            </w:r>
          </w:p>
          <w:tbl>
            <w:tblPr>
              <w:tblStyle w:val="2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85"/>
              <w:gridCol w:w="3790"/>
              <w:gridCol w:w="26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4"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产污环节</w:t>
                  </w:r>
                </w:p>
              </w:tc>
              <w:tc>
                <w:tcPr>
                  <w:tcW w:w="222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产污系数（千克/吨-原料）</w:t>
                  </w:r>
                </w:p>
              </w:tc>
              <w:tc>
                <w:tcPr>
                  <w:tcW w:w="1549"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4"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切割</w:t>
                  </w:r>
                </w:p>
              </w:tc>
              <w:tc>
                <w:tcPr>
                  <w:tcW w:w="222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1.1</w:t>
                  </w:r>
                </w:p>
              </w:tc>
              <w:tc>
                <w:tcPr>
                  <w:tcW w:w="1549"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35.75</w:t>
                  </w:r>
                </w:p>
              </w:tc>
            </w:tr>
          </w:tbl>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采用移动式烟尘净化器系统处理，《第二次全国污染源普查工业污染源产排污系数手册》（2019年试用版）“33 金属制品业”中移动式烟尘净化器的处理效率为95%，排放量为35750千克</w:t>
            </w:r>
            <w:r>
              <w:rPr>
                <w:rFonts w:hint="default"/>
                <w:sz w:val="21"/>
                <w:szCs w:val="21"/>
                <w:u w:val="single"/>
              </w:rPr>
              <w:t>×</w:t>
            </w:r>
            <w:r>
              <w:rPr>
                <w:rFonts w:hint="eastAsia"/>
                <w:sz w:val="21"/>
                <w:szCs w:val="21"/>
                <w:u w:val="single"/>
              </w:rPr>
              <w:t>（1-95%）=1787.5千克。</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93"/>
              <w:gridCol w:w="2174"/>
              <w:gridCol w:w="2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污染物指标</w:t>
                  </w:r>
                </w:p>
              </w:tc>
              <w:tc>
                <w:tcPr>
                  <w:tcW w:w="117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排放方式</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颗粒物</w:t>
                  </w:r>
                </w:p>
              </w:tc>
              <w:tc>
                <w:tcPr>
                  <w:tcW w:w="1170"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35750千克</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无组织排放</w:t>
                  </w:r>
                </w:p>
              </w:tc>
              <w:tc>
                <w:tcPr>
                  <w:tcW w:w="1276" w:type="pct"/>
                  <w:shd w:val="clear" w:color="auto" w:fill="auto"/>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1787.5千克</w:t>
                  </w:r>
                </w:p>
              </w:tc>
            </w:tr>
          </w:tbl>
          <w:p>
            <w:pPr>
              <w:keepNext w:val="0"/>
              <w:keepLines w:val="0"/>
              <w:widowControl/>
              <w:suppressLineNumbers w:val="0"/>
              <w:spacing w:before="0" w:beforeAutospacing="0" w:after="0" w:afterAutospacing="0"/>
              <w:ind w:left="0" w:right="0" w:firstLine="420"/>
              <w:rPr>
                <w:rFonts w:hint="default"/>
                <w:sz w:val="21"/>
                <w:szCs w:val="21"/>
              </w:rPr>
            </w:pP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4、喷漆废气</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A、使用溶剂型油漆产生VOCs量</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采用《第二次全国污染源普查工业污染源产排污系数手册》（2019年试用版）中“33 金属制品业”的系数进行计算，本项目使用的油漆为6t/a，油漆稀释剂用量为3t/a。</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21"/>
              <w:gridCol w:w="2415"/>
              <w:gridCol w:w="1429"/>
              <w:gridCol w:w="24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1304"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污染物指标</w:t>
                  </w:r>
                </w:p>
              </w:tc>
              <w:tc>
                <w:tcPr>
                  <w:tcW w:w="1418"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产污系数单位</w:t>
                  </w:r>
                </w:p>
              </w:tc>
              <w:tc>
                <w:tcPr>
                  <w:tcW w:w="839"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 xml:space="preserve">产污系数 </w:t>
                  </w:r>
                </w:p>
              </w:tc>
              <w:tc>
                <w:tcPr>
                  <w:tcW w:w="1437"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年产生量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304"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挥发性有机物</w:t>
                  </w:r>
                </w:p>
              </w:tc>
              <w:tc>
                <w:tcPr>
                  <w:tcW w:w="1418"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千克/吨-原料</w:t>
                  </w:r>
                </w:p>
              </w:tc>
              <w:tc>
                <w:tcPr>
                  <w:tcW w:w="839"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486</w:t>
                  </w:r>
                </w:p>
              </w:tc>
              <w:tc>
                <w:tcPr>
                  <w:tcW w:w="1437" w:type="pct"/>
                  <w:shd w:val="clear" w:color="auto" w:fill="auto"/>
                  <w:noWrap/>
                  <w:vAlign w:val="bottom"/>
                </w:tcPr>
                <w:p>
                  <w:pPr>
                    <w:pStyle w:val="32"/>
                    <w:keepNext w:val="0"/>
                    <w:keepLines w:val="0"/>
                    <w:widowControl/>
                    <w:suppressLineNumbers w:val="0"/>
                    <w:bidi w:val="0"/>
                    <w:spacing w:before="0" w:beforeAutospacing="0" w:afterAutospacing="0"/>
                    <w:ind w:left="0" w:right="0"/>
                    <w:rPr>
                      <w:rFonts w:hint="default"/>
                    </w:rPr>
                  </w:pPr>
                  <w:r>
                    <w:rPr>
                      <w:rFonts w:hint="eastAsia"/>
                    </w:rPr>
                    <w:t>4374千克</w:t>
                  </w:r>
                </w:p>
              </w:tc>
            </w:tr>
          </w:tbl>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B、使用水性漆产生VOCs量</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采用《第二次全国污染源普查工业污染源产排污系数手册》（2019年试用版）中“33 金属制品业”的系数进行计算，本项目使用的水性漆为3t/a。</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9"/>
              <w:gridCol w:w="2325"/>
              <w:gridCol w:w="1529"/>
              <w:gridCol w:w="2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256"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污染物指标</w:t>
                  </w:r>
                </w:p>
              </w:tc>
              <w:tc>
                <w:tcPr>
                  <w:tcW w:w="1365"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产污系数单位</w:t>
                  </w:r>
                </w:p>
              </w:tc>
              <w:tc>
                <w:tcPr>
                  <w:tcW w:w="898"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 xml:space="preserve">产污系数 </w:t>
                  </w:r>
                </w:p>
              </w:tc>
              <w:tc>
                <w:tcPr>
                  <w:tcW w:w="1479"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年产生量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1256"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挥发性有机物</w:t>
                  </w:r>
                </w:p>
              </w:tc>
              <w:tc>
                <w:tcPr>
                  <w:tcW w:w="1365"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千克/吨-原料</w:t>
                  </w:r>
                </w:p>
              </w:tc>
              <w:tc>
                <w:tcPr>
                  <w:tcW w:w="898"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135</w:t>
                  </w:r>
                </w:p>
              </w:tc>
              <w:tc>
                <w:tcPr>
                  <w:tcW w:w="1479" w:type="pc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405千克</w:t>
                  </w:r>
                </w:p>
              </w:tc>
            </w:tr>
          </w:tbl>
          <w:p>
            <w:pPr>
              <w:keepNext w:val="0"/>
              <w:keepLines w:val="0"/>
              <w:widowControl/>
              <w:suppressLineNumbers w:val="0"/>
              <w:spacing w:before="0" w:beforeAutospacing="0" w:after="0" w:afterAutospacing="0"/>
              <w:ind w:left="0" w:right="0" w:firstLine="420"/>
              <w:rPr>
                <w:rFonts w:hint="default"/>
                <w:sz w:val="21"/>
                <w:szCs w:val="21"/>
              </w:rPr>
            </w:pP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使用溶剂型油漆+稀释剂+水性漆产生VOCs量汇总如下所示。</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08"/>
              <w:gridCol w:w="46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2295" w:type="pct"/>
                  <w:shd w:val="clear" w:color="auto" w:fill="auto"/>
                  <w:noWrap/>
                  <w:vAlign w:val="center"/>
                </w:tcPr>
                <w:p>
                  <w:pPr>
                    <w:pStyle w:val="32"/>
                    <w:keepNext w:val="0"/>
                    <w:keepLines w:val="0"/>
                    <w:widowControl/>
                    <w:suppressLineNumbers w:val="0"/>
                    <w:spacing w:before="0" w:beforeAutospacing="0" w:afterAutospacing="0"/>
                    <w:ind w:left="0" w:right="0" w:firstLine="480"/>
                    <w:rPr>
                      <w:rFonts w:hint="default"/>
                      <w:szCs w:val="21"/>
                    </w:rPr>
                  </w:pPr>
                  <w:r>
                    <w:rPr>
                      <w:rFonts w:hint="eastAsia"/>
                      <w:szCs w:val="21"/>
                    </w:rPr>
                    <w:t>污染物指标</w:t>
                  </w:r>
                </w:p>
              </w:tc>
              <w:tc>
                <w:tcPr>
                  <w:tcW w:w="2704" w:type="pct"/>
                  <w:shd w:val="clear" w:color="auto" w:fill="auto"/>
                  <w:noWrap/>
                  <w:vAlign w:val="center"/>
                </w:tcPr>
                <w:p>
                  <w:pPr>
                    <w:pStyle w:val="32"/>
                    <w:keepNext w:val="0"/>
                    <w:keepLines w:val="0"/>
                    <w:widowControl/>
                    <w:suppressLineNumbers w:val="0"/>
                    <w:spacing w:before="0" w:beforeAutospacing="0" w:afterAutospacing="0"/>
                    <w:ind w:left="0" w:right="0" w:firstLine="480"/>
                    <w:rPr>
                      <w:rFonts w:hint="default"/>
                      <w:szCs w:val="21"/>
                    </w:rPr>
                  </w:pPr>
                  <w:r>
                    <w:rPr>
                      <w:rFonts w:hint="eastAsia"/>
                      <w:szCs w:val="21"/>
                    </w:rPr>
                    <w:t>年产生量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2295" w:type="pct"/>
                  <w:shd w:val="clear" w:color="auto" w:fill="auto"/>
                  <w:noWrap/>
                  <w:vAlign w:val="center"/>
                </w:tcPr>
                <w:p>
                  <w:pPr>
                    <w:pStyle w:val="32"/>
                    <w:keepNext w:val="0"/>
                    <w:keepLines w:val="0"/>
                    <w:widowControl/>
                    <w:suppressLineNumbers w:val="0"/>
                    <w:spacing w:before="0" w:beforeAutospacing="0" w:afterAutospacing="0"/>
                    <w:ind w:left="0" w:right="0" w:firstLine="480"/>
                    <w:rPr>
                      <w:rFonts w:hint="default"/>
                      <w:szCs w:val="21"/>
                    </w:rPr>
                  </w:pPr>
                  <w:r>
                    <w:rPr>
                      <w:rFonts w:hint="eastAsia"/>
                      <w:szCs w:val="21"/>
                    </w:rPr>
                    <w:t>挥发性有机物</w:t>
                  </w:r>
                </w:p>
              </w:tc>
              <w:tc>
                <w:tcPr>
                  <w:tcW w:w="2704" w:type="pct"/>
                  <w:shd w:val="clear" w:color="auto" w:fill="auto"/>
                  <w:noWrap/>
                  <w:vAlign w:val="center"/>
                </w:tcPr>
                <w:p>
                  <w:pPr>
                    <w:pStyle w:val="32"/>
                    <w:keepNext w:val="0"/>
                    <w:keepLines w:val="0"/>
                    <w:widowControl/>
                    <w:suppressLineNumbers w:val="0"/>
                    <w:spacing w:before="0" w:beforeAutospacing="0" w:afterAutospacing="0"/>
                    <w:ind w:left="0" w:right="0" w:firstLine="480"/>
                    <w:rPr>
                      <w:rFonts w:hint="default"/>
                      <w:szCs w:val="21"/>
                    </w:rPr>
                  </w:pPr>
                  <w:r>
                    <w:rPr>
                      <w:rFonts w:hint="eastAsia"/>
                      <w:szCs w:val="21"/>
                    </w:rPr>
                    <w:t>4779千克</w:t>
                  </w:r>
                </w:p>
              </w:tc>
            </w:tr>
          </w:tbl>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采用</w:t>
            </w:r>
            <w:r>
              <w:rPr>
                <w:rFonts w:hint="eastAsia" w:cs="Times New Roman"/>
                <w:sz w:val="21"/>
                <w:szCs w:val="21"/>
              </w:rPr>
              <w:t>封闭的</w:t>
            </w:r>
            <w:r>
              <w:rPr>
                <w:rFonts w:hint="eastAsia"/>
                <w:sz w:val="21"/>
                <w:szCs w:val="21"/>
                <w:u w:val="single"/>
              </w:rPr>
              <w:t>喷漆房+水帘柜+活性炭吸附装置+UV光解对喷漆废气进行处理，</w:t>
            </w:r>
            <w:r>
              <w:rPr>
                <w:rFonts w:hint="default" w:cs="Times New Roman"/>
                <w:bCs/>
                <w:sz w:val="21"/>
                <w:szCs w:val="21"/>
                <w:u w:val="single"/>
              </w:rPr>
              <w:t>类比《</w:t>
            </w:r>
            <w:r>
              <w:rPr>
                <w:rFonts w:hint="default" w:cs="Times New Roman"/>
                <w:sz w:val="21"/>
                <w:szCs w:val="21"/>
                <w:u w:val="single"/>
              </w:rPr>
              <w:t>湖南乐庭家居有限公司年产20万件/套家具家居制品建设项目》</w:t>
            </w:r>
            <w:r>
              <w:rPr>
                <w:rFonts w:hint="default" w:cs="Times New Roman"/>
                <w:bCs/>
                <w:sz w:val="21"/>
                <w:szCs w:val="21"/>
                <w:u w:val="single"/>
              </w:rPr>
              <w:t>，</w:t>
            </w:r>
            <w:r>
              <w:rPr>
                <w:rFonts w:hint="eastAsia" w:cs="Times New Roman"/>
                <w:bCs/>
                <w:sz w:val="21"/>
                <w:szCs w:val="21"/>
                <w:u w:val="single"/>
              </w:rPr>
              <w:t>密闭的</w:t>
            </w:r>
            <w:r>
              <w:rPr>
                <w:rFonts w:hint="eastAsia"/>
                <w:sz w:val="21"/>
                <w:szCs w:val="21"/>
                <w:u w:val="single"/>
              </w:rPr>
              <w:t>喷漆房收集废气的效率为9</w:t>
            </w:r>
            <w:r>
              <w:rPr>
                <w:rFonts w:hint="default"/>
                <w:sz w:val="21"/>
                <w:szCs w:val="21"/>
                <w:u w:val="single"/>
              </w:rPr>
              <w:t>0%</w:t>
            </w:r>
            <w:r>
              <w:rPr>
                <w:rFonts w:hint="eastAsia"/>
                <w:sz w:val="21"/>
                <w:szCs w:val="21"/>
                <w:u w:val="single"/>
              </w:rPr>
              <w:t>以上，水帘柜去除VOC的效率为</w:t>
            </w:r>
            <w:r>
              <w:rPr>
                <w:rFonts w:hint="default"/>
                <w:sz w:val="21"/>
                <w:szCs w:val="21"/>
                <w:u w:val="single"/>
              </w:rPr>
              <w:t>70</w:t>
            </w:r>
            <w:r>
              <w:rPr>
                <w:rFonts w:hint="eastAsia"/>
                <w:sz w:val="21"/>
                <w:szCs w:val="21"/>
                <w:u w:val="single"/>
              </w:rPr>
              <w:t>%，活性炭吸附效率为60%，UV光解处理效率为30%，则总处理效率为1-（1-</w:t>
            </w:r>
            <w:r>
              <w:rPr>
                <w:rFonts w:hint="default"/>
                <w:sz w:val="21"/>
                <w:szCs w:val="21"/>
                <w:u w:val="single"/>
              </w:rPr>
              <w:t>7</w:t>
            </w:r>
            <w:r>
              <w:rPr>
                <w:rFonts w:hint="eastAsia"/>
                <w:sz w:val="21"/>
                <w:szCs w:val="21"/>
                <w:u w:val="single"/>
              </w:rPr>
              <w:t>0%）</w:t>
            </w:r>
            <w:r>
              <w:rPr>
                <w:rFonts w:hint="default"/>
                <w:sz w:val="21"/>
                <w:szCs w:val="21"/>
                <w:u w:val="single"/>
              </w:rPr>
              <w:t>×</w:t>
            </w:r>
            <w:r>
              <w:rPr>
                <w:rFonts w:hint="eastAsia"/>
                <w:sz w:val="21"/>
                <w:szCs w:val="21"/>
                <w:u w:val="single"/>
              </w:rPr>
              <w:t>（1-60%）</w:t>
            </w:r>
            <w:r>
              <w:rPr>
                <w:rFonts w:hint="default"/>
                <w:sz w:val="21"/>
                <w:szCs w:val="21"/>
                <w:u w:val="single"/>
              </w:rPr>
              <w:t>×</w:t>
            </w:r>
            <w:r>
              <w:rPr>
                <w:rFonts w:hint="eastAsia"/>
                <w:sz w:val="21"/>
                <w:szCs w:val="21"/>
                <w:u w:val="single"/>
              </w:rPr>
              <w:t>（1-30%）=91.6%。该套装置的烟气流速为10000m³/h，年工作2000h。</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cs="Times New Roman"/>
                <w:bCs/>
                <w:sz w:val="21"/>
                <w:szCs w:val="21"/>
                <w:u w:val="single"/>
              </w:rPr>
              <w:t>无组织废气计算：密闭的</w:t>
            </w:r>
            <w:r>
              <w:rPr>
                <w:rFonts w:hint="eastAsia"/>
                <w:sz w:val="21"/>
                <w:szCs w:val="21"/>
                <w:u w:val="single"/>
              </w:rPr>
              <w:t>喷漆房收集废气的效率为9</w:t>
            </w:r>
            <w:r>
              <w:rPr>
                <w:rFonts w:hint="default"/>
                <w:sz w:val="21"/>
                <w:szCs w:val="21"/>
                <w:u w:val="single"/>
              </w:rPr>
              <w:t>0%</w:t>
            </w:r>
            <w:r>
              <w:rPr>
                <w:rFonts w:hint="eastAsia"/>
                <w:sz w:val="21"/>
                <w:szCs w:val="21"/>
                <w:u w:val="single"/>
              </w:rPr>
              <w:t>以上，未收集的废气量为10%以下，按10%计，则挥发性有机物的无组织排放量为4779千克</w:t>
            </w:r>
            <w:r>
              <w:rPr>
                <w:rFonts w:hint="default"/>
                <w:sz w:val="21"/>
                <w:szCs w:val="21"/>
                <w:u w:val="single"/>
              </w:rPr>
              <w:t>×</w:t>
            </w:r>
            <w:r>
              <w:rPr>
                <w:rFonts w:hint="eastAsia"/>
                <w:sz w:val="21"/>
                <w:szCs w:val="21"/>
                <w:u w:val="single"/>
              </w:rPr>
              <w:t>10%=477.9千克。</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sz w:val="21"/>
                <w:szCs w:val="21"/>
                <w:u w:val="single"/>
              </w:rPr>
              <w:t>有组织废气</w:t>
            </w:r>
            <w:r>
              <w:rPr>
                <w:rFonts w:hint="eastAsia" w:cs="Times New Roman"/>
                <w:bCs/>
                <w:sz w:val="21"/>
                <w:szCs w:val="21"/>
                <w:u w:val="single"/>
              </w:rPr>
              <w:t>计算</w:t>
            </w:r>
            <w:r>
              <w:rPr>
                <w:rFonts w:hint="eastAsia"/>
                <w:sz w:val="21"/>
                <w:szCs w:val="21"/>
                <w:u w:val="single"/>
              </w:rPr>
              <w:t>：年排放量=（4779千克-477.9千克）</w:t>
            </w:r>
            <w:r>
              <w:rPr>
                <w:rFonts w:hint="default"/>
                <w:sz w:val="21"/>
                <w:szCs w:val="21"/>
                <w:u w:val="single"/>
              </w:rPr>
              <w:t>×</w:t>
            </w:r>
            <w:r>
              <w:rPr>
                <w:rFonts w:hint="eastAsia"/>
                <w:sz w:val="21"/>
                <w:szCs w:val="21"/>
                <w:u w:val="single"/>
              </w:rPr>
              <w:t>（1-91.6%）=361.3千克；排放速率=361.3千克</w:t>
            </w:r>
            <w:r>
              <w:rPr>
                <w:rFonts w:hint="default" w:ascii="Arial" w:hAnsi="Arial" w:cs="Arial"/>
                <w:sz w:val="21"/>
                <w:szCs w:val="21"/>
                <w:u w:val="single"/>
              </w:rPr>
              <w:t>÷</w:t>
            </w:r>
            <w:r>
              <w:rPr>
                <w:rFonts w:hint="eastAsia"/>
                <w:sz w:val="21"/>
                <w:szCs w:val="21"/>
                <w:u w:val="single"/>
              </w:rPr>
              <w:t>2000h=0.181千克/h；排放浓度=0.181千克/h</w:t>
            </w:r>
            <w:r>
              <w:rPr>
                <w:rFonts w:hint="default" w:ascii="Arial" w:hAnsi="Arial" w:cs="Arial"/>
                <w:sz w:val="21"/>
                <w:szCs w:val="21"/>
                <w:u w:val="single"/>
              </w:rPr>
              <w:t>÷</w:t>
            </w:r>
            <w:r>
              <w:rPr>
                <w:rFonts w:hint="eastAsia"/>
                <w:sz w:val="21"/>
                <w:szCs w:val="21"/>
                <w:u w:val="single"/>
              </w:rPr>
              <w:t>10000m³/h=18.1mg/m³</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71"/>
              <w:gridCol w:w="1256"/>
              <w:gridCol w:w="1434"/>
              <w:gridCol w:w="1315"/>
              <w:gridCol w:w="1336"/>
              <w:gridCol w:w="15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1"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污染物指标</w:t>
                  </w:r>
                </w:p>
              </w:tc>
              <w:tc>
                <w:tcPr>
                  <w:tcW w:w="737"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产生量</w:t>
                  </w:r>
                </w:p>
              </w:tc>
              <w:tc>
                <w:tcPr>
                  <w:tcW w:w="842"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排放方式</w:t>
                  </w:r>
                </w:p>
              </w:tc>
              <w:tc>
                <w:tcPr>
                  <w:tcW w:w="772"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排放量</w:t>
                  </w:r>
                </w:p>
              </w:tc>
              <w:tc>
                <w:tcPr>
                  <w:tcW w:w="78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排放浓度</w:t>
                  </w:r>
                </w:p>
              </w:tc>
              <w:tc>
                <w:tcPr>
                  <w:tcW w:w="881"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排放速率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81" w:type="pct"/>
                  <w:vMerge w:val="restar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挥发性有机物</w:t>
                  </w:r>
                </w:p>
              </w:tc>
              <w:tc>
                <w:tcPr>
                  <w:tcW w:w="737" w:type="pct"/>
                  <w:vMerge w:val="restar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4779千克</w:t>
                  </w:r>
                </w:p>
              </w:tc>
              <w:tc>
                <w:tcPr>
                  <w:tcW w:w="842"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有组织排放</w:t>
                  </w:r>
                </w:p>
              </w:tc>
              <w:tc>
                <w:tcPr>
                  <w:tcW w:w="772"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361.3千克</w:t>
                  </w:r>
                </w:p>
              </w:tc>
              <w:tc>
                <w:tcPr>
                  <w:tcW w:w="78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18.1mg/m³</w:t>
                  </w:r>
                </w:p>
              </w:tc>
              <w:tc>
                <w:tcPr>
                  <w:tcW w:w="881"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0.181千克/h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81" w:type="pct"/>
                  <w:vMerge w:val="continue"/>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737" w:type="pct"/>
                  <w:vMerge w:val="continue"/>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p>
              </w:tc>
              <w:tc>
                <w:tcPr>
                  <w:tcW w:w="842"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无组织排放</w:t>
                  </w:r>
                </w:p>
              </w:tc>
              <w:tc>
                <w:tcPr>
                  <w:tcW w:w="772"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477.9千克</w:t>
                  </w:r>
                </w:p>
              </w:tc>
              <w:tc>
                <w:tcPr>
                  <w:tcW w:w="784"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w:t>
                  </w:r>
                </w:p>
              </w:tc>
              <w:tc>
                <w:tcPr>
                  <w:tcW w:w="881" w:type="pct"/>
                  <w:shd w:val="clear" w:color="auto" w:fill="auto"/>
                  <w:noWrap/>
                  <w:vAlign w:val="center"/>
                </w:tcPr>
                <w:p>
                  <w:pPr>
                    <w:pStyle w:val="32"/>
                    <w:keepNext w:val="0"/>
                    <w:keepLines w:val="0"/>
                    <w:widowControl/>
                    <w:suppressLineNumbers w:val="0"/>
                    <w:spacing w:before="0" w:beforeAutospacing="0" w:afterAutospacing="0"/>
                    <w:ind w:left="0" w:right="0"/>
                    <w:rPr>
                      <w:rFonts w:hint="default"/>
                      <w:szCs w:val="21"/>
                    </w:rPr>
                  </w:pPr>
                  <w:r>
                    <w:rPr>
                      <w:rFonts w:hint="eastAsia"/>
                      <w:szCs w:val="21"/>
                    </w:rPr>
                    <w:t>/</w:t>
                  </w:r>
                </w:p>
              </w:tc>
            </w:tr>
          </w:tbl>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rPr>
              <w:t>5</w:t>
            </w:r>
            <w:r>
              <w:rPr>
                <w:rFonts w:hint="eastAsia"/>
                <w:sz w:val="21"/>
                <w:szCs w:val="21"/>
              </w:rPr>
              <w:t>、废气汇总</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-1</w:t>
            </w:r>
            <w:r>
              <w:rPr>
                <w:rFonts w:hint="eastAsia"/>
                <w:color w:val="auto"/>
                <w:sz w:val="21"/>
                <w:szCs w:val="21"/>
              </w:rPr>
              <w:t xml:space="preserve">  废气产排情况一览表</w:t>
            </w:r>
          </w:p>
          <w:tbl>
            <w:tblPr>
              <w:tblStyle w:val="2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46"/>
              <w:gridCol w:w="775"/>
              <w:gridCol w:w="794"/>
              <w:gridCol w:w="1010"/>
              <w:gridCol w:w="2282"/>
              <w:gridCol w:w="1428"/>
              <w:gridCol w:w="1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27" w:hRule="atLeast"/>
                <w:jc w:val="center"/>
              </w:trPr>
              <w:tc>
                <w:tcPr>
                  <w:tcW w:w="67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排放源(编号)</w:t>
                  </w:r>
                </w:p>
              </w:tc>
              <w:tc>
                <w:tcPr>
                  <w:tcW w:w="455"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污染物名称</w:t>
                  </w:r>
                </w:p>
              </w:tc>
              <w:tc>
                <w:tcPr>
                  <w:tcW w:w="46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产生量t/a</w:t>
                  </w:r>
                </w:p>
              </w:tc>
              <w:tc>
                <w:tcPr>
                  <w:tcW w:w="59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排放量t/a</w:t>
                  </w:r>
                </w:p>
              </w:tc>
              <w:tc>
                <w:tcPr>
                  <w:tcW w:w="1339"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处理方式</w:t>
                  </w:r>
                </w:p>
              </w:tc>
              <w:tc>
                <w:tcPr>
                  <w:tcW w:w="838"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排放方式</w:t>
                  </w:r>
                </w:p>
              </w:tc>
              <w:tc>
                <w:tcPr>
                  <w:tcW w:w="63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是否为可行技术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jc w:val="center"/>
              </w:trPr>
              <w:tc>
                <w:tcPr>
                  <w:tcW w:w="67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焊接烟气G1</w:t>
                  </w:r>
                </w:p>
              </w:tc>
              <w:tc>
                <w:tcPr>
                  <w:tcW w:w="455"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颗粒物</w:t>
                  </w:r>
                </w:p>
              </w:tc>
              <w:tc>
                <w:tcPr>
                  <w:tcW w:w="46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5.125</w:t>
                  </w:r>
                </w:p>
              </w:tc>
              <w:tc>
                <w:tcPr>
                  <w:tcW w:w="59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0.</w:t>
                  </w:r>
                  <w:r>
                    <w:rPr>
                      <w:rFonts w:hint="eastAsia"/>
                      <w:u w:val="single"/>
                    </w:rPr>
                    <w:t>256</w:t>
                  </w:r>
                  <w:r>
                    <w:rPr>
                      <w:rFonts w:hint="default"/>
                      <w:u w:val="single"/>
                    </w:rPr>
                    <w:t>3</w:t>
                  </w:r>
                </w:p>
              </w:tc>
              <w:tc>
                <w:tcPr>
                  <w:tcW w:w="1339"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移动式烟尘净化器</w:t>
                  </w:r>
                </w:p>
              </w:tc>
              <w:tc>
                <w:tcPr>
                  <w:tcW w:w="838"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无组织排放</w:t>
                  </w:r>
                </w:p>
              </w:tc>
              <w:tc>
                <w:tcPr>
                  <w:tcW w:w="63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jc w:val="center"/>
              </w:trPr>
              <w:tc>
                <w:tcPr>
                  <w:tcW w:w="67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喷砂废气G2</w:t>
                  </w:r>
                </w:p>
              </w:tc>
              <w:tc>
                <w:tcPr>
                  <w:tcW w:w="455"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颗粒物</w:t>
                  </w:r>
                </w:p>
              </w:tc>
              <w:tc>
                <w:tcPr>
                  <w:tcW w:w="46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lang w:val="en-US" w:eastAsia="zh-CN"/>
                    </w:rPr>
                    <w:t>0.</w:t>
                  </w:r>
                  <w:r>
                    <w:rPr>
                      <w:rFonts w:hint="eastAsia"/>
                      <w:u w:val="single"/>
                    </w:rPr>
                    <w:t>1752</w:t>
                  </w:r>
                </w:p>
              </w:tc>
              <w:tc>
                <w:tcPr>
                  <w:tcW w:w="59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0.0</w:t>
                  </w:r>
                  <w:r>
                    <w:rPr>
                      <w:rFonts w:hint="eastAsia"/>
                      <w:u w:val="single"/>
                    </w:rPr>
                    <w:t>41</w:t>
                  </w:r>
                  <w:r>
                    <w:rPr>
                      <w:rFonts w:hint="default"/>
                      <w:u w:val="single"/>
                    </w:rPr>
                    <w:t>2</w:t>
                  </w:r>
                </w:p>
              </w:tc>
              <w:tc>
                <w:tcPr>
                  <w:tcW w:w="1339"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封闭的喷砂房+抽风管道+水浴池</w:t>
                  </w:r>
                </w:p>
              </w:tc>
              <w:tc>
                <w:tcPr>
                  <w:tcW w:w="838"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无组织排放</w:t>
                  </w:r>
                </w:p>
              </w:tc>
              <w:tc>
                <w:tcPr>
                  <w:tcW w:w="63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27" w:hRule="atLeast"/>
                <w:jc w:val="center"/>
              </w:trPr>
              <w:tc>
                <w:tcPr>
                  <w:tcW w:w="67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切割废气G3</w:t>
                  </w:r>
                </w:p>
              </w:tc>
              <w:tc>
                <w:tcPr>
                  <w:tcW w:w="455"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颗粒物</w:t>
                  </w:r>
                </w:p>
              </w:tc>
              <w:tc>
                <w:tcPr>
                  <w:tcW w:w="46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35.75</w:t>
                  </w:r>
                </w:p>
              </w:tc>
              <w:tc>
                <w:tcPr>
                  <w:tcW w:w="59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1</w:t>
                  </w:r>
                  <w:r>
                    <w:rPr>
                      <w:rFonts w:hint="default"/>
                      <w:u w:val="single"/>
                    </w:rPr>
                    <w:t>.</w:t>
                  </w:r>
                  <w:r>
                    <w:rPr>
                      <w:rFonts w:hint="eastAsia"/>
                      <w:u w:val="single"/>
                    </w:rPr>
                    <w:t>7875</w:t>
                  </w:r>
                </w:p>
              </w:tc>
              <w:tc>
                <w:tcPr>
                  <w:tcW w:w="1339"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移动式烟尘净化器</w:t>
                  </w:r>
                </w:p>
              </w:tc>
              <w:tc>
                <w:tcPr>
                  <w:tcW w:w="838"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无组织排放</w:t>
                  </w:r>
                </w:p>
              </w:tc>
              <w:tc>
                <w:tcPr>
                  <w:tcW w:w="634"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04" w:hRule="atLeast"/>
                <w:jc w:val="center"/>
              </w:trPr>
              <w:tc>
                <w:tcPr>
                  <w:tcW w:w="673" w:type="pct"/>
                  <w:vMerge w:val="restar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喷漆废气G4</w:t>
                  </w:r>
                </w:p>
              </w:tc>
              <w:tc>
                <w:tcPr>
                  <w:tcW w:w="455" w:type="pct"/>
                  <w:vMerge w:val="restar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VOCs</w:t>
                  </w:r>
                </w:p>
              </w:tc>
              <w:tc>
                <w:tcPr>
                  <w:tcW w:w="464" w:type="pct"/>
                  <w:vMerge w:val="restar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4.779</w:t>
                  </w:r>
                </w:p>
              </w:tc>
              <w:tc>
                <w:tcPr>
                  <w:tcW w:w="59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0.3613</w:t>
                  </w:r>
                </w:p>
              </w:tc>
              <w:tc>
                <w:tcPr>
                  <w:tcW w:w="1339"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封闭的喷漆房+水帘柜+活性炭吸附装置+UV光解+</w:t>
                  </w:r>
                  <w:r>
                    <w:rPr>
                      <w:rFonts w:hint="default"/>
                      <w:u w:val="single"/>
                    </w:rPr>
                    <w:t>1</w:t>
                  </w:r>
                  <w:r>
                    <w:rPr>
                      <w:rFonts w:hint="eastAsia"/>
                      <w:u w:val="single"/>
                    </w:rPr>
                    <w:t>5高排气筒</w:t>
                  </w:r>
                </w:p>
              </w:tc>
              <w:tc>
                <w:tcPr>
                  <w:tcW w:w="838"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有组织排放</w:t>
                  </w:r>
                </w:p>
              </w:tc>
              <w:tc>
                <w:tcPr>
                  <w:tcW w:w="634" w:type="pct"/>
                  <w:vMerge w:val="restar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5" w:hRule="atLeast"/>
                <w:jc w:val="center"/>
              </w:trPr>
              <w:tc>
                <w:tcPr>
                  <w:tcW w:w="673" w:type="pct"/>
                  <w:vMerge w:val="continue"/>
                  <w:vAlign w:val="center"/>
                </w:tcPr>
                <w:p>
                  <w:pPr>
                    <w:pStyle w:val="32"/>
                    <w:keepNext w:val="0"/>
                    <w:keepLines w:val="0"/>
                    <w:widowControl/>
                    <w:suppressLineNumbers w:val="0"/>
                    <w:bidi w:val="0"/>
                    <w:spacing w:before="0" w:beforeAutospacing="0" w:afterAutospacing="0"/>
                    <w:ind w:left="0" w:right="0"/>
                    <w:rPr>
                      <w:rFonts w:hint="default"/>
                      <w:u w:val="single"/>
                    </w:rPr>
                  </w:pPr>
                </w:p>
              </w:tc>
              <w:tc>
                <w:tcPr>
                  <w:tcW w:w="455" w:type="pct"/>
                  <w:vMerge w:val="continue"/>
                  <w:vAlign w:val="center"/>
                </w:tcPr>
                <w:p>
                  <w:pPr>
                    <w:pStyle w:val="32"/>
                    <w:keepNext w:val="0"/>
                    <w:keepLines w:val="0"/>
                    <w:widowControl/>
                    <w:suppressLineNumbers w:val="0"/>
                    <w:bidi w:val="0"/>
                    <w:spacing w:before="0" w:beforeAutospacing="0" w:afterAutospacing="0"/>
                    <w:ind w:left="0" w:right="0"/>
                    <w:rPr>
                      <w:rFonts w:hint="default"/>
                      <w:u w:val="single"/>
                    </w:rPr>
                  </w:pPr>
                </w:p>
              </w:tc>
              <w:tc>
                <w:tcPr>
                  <w:tcW w:w="464" w:type="pct"/>
                  <w:vMerge w:val="continue"/>
                  <w:vAlign w:val="center"/>
                </w:tcPr>
                <w:p>
                  <w:pPr>
                    <w:pStyle w:val="32"/>
                    <w:keepNext w:val="0"/>
                    <w:keepLines w:val="0"/>
                    <w:widowControl/>
                    <w:suppressLineNumbers w:val="0"/>
                    <w:bidi w:val="0"/>
                    <w:spacing w:before="0" w:beforeAutospacing="0" w:afterAutospacing="0"/>
                    <w:ind w:left="0" w:right="0"/>
                    <w:rPr>
                      <w:rFonts w:hint="default"/>
                      <w:u w:val="single"/>
                    </w:rPr>
                  </w:pPr>
                </w:p>
              </w:tc>
              <w:tc>
                <w:tcPr>
                  <w:tcW w:w="593"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0</w:t>
                  </w:r>
                  <w:r>
                    <w:rPr>
                      <w:rFonts w:hint="default"/>
                      <w:u w:val="single"/>
                    </w:rPr>
                    <w:t>.</w:t>
                  </w:r>
                  <w:r>
                    <w:rPr>
                      <w:rFonts w:hint="eastAsia"/>
                      <w:u w:val="single"/>
                    </w:rPr>
                    <w:t>4779</w:t>
                  </w:r>
                </w:p>
              </w:tc>
              <w:tc>
                <w:tcPr>
                  <w:tcW w:w="1339"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未收集到的喷漆废气</w:t>
                  </w:r>
                </w:p>
              </w:tc>
              <w:tc>
                <w:tcPr>
                  <w:tcW w:w="838" w:type="pct"/>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无组织排放</w:t>
                  </w:r>
                </w:p>
              </w:tc>
              <w:tc>
                <w:tcPr>
                  <w:tcW w:w="634" w:type="pct"/>
                  <w:vMerge w:val="continue"/>
                  <w:vAlign w:val="center"/>
                </w:tcPr>
                <w:p>
                  <w:pPr>
                    <w:pStyle w:val="32"/>
                    <w:keepNext w:val="0"/>
                    <w:keepLines w:val="0"/>
                    <w:widowControl/>
                    <w:suppressLineNumbers w:val="0"/>
                    <w:bidi w:val="0"/>
                    <w:spacing w:before="0" w:beforeAutospacing="0" w:afterAutospacing="0"/>
                    <w:ind w:left="0" w:right="0"/>
                    <w:rPr>
                      <w:rFonts w:hint="default"/>
                      <w:u w:val="single"/>
                    </w:rPr>
                  </w:pPr>
                </w:p>
              </w:tc>
            </w:tr>
          </w:tbl>
          <w:p>
            <w:pPr>
              <w:pStyle w:val="15"/>
              <w:keepNext w:val="0"/>
              <w:keepLines w:val="0"/>
              <w:widowControl/>
              <w:suppressLineNumbers w:val="0"/>
              <w:spacing w:before="0" w:beforeAutospacing="0" w:afterAutospacing="0"/>
              <w:ind w:left="0" w:right="0" w:firstLine="420"/>
              <w:rPr>
                <w:rFonts w:hint="default"/>
                <w:sz w:val="21"/>
                <w:szCs w:val="21"/>
              </w:rPr>
            </w:pPr>
            <w:r>
              <w:rPr>
                <w:rFonts w:hint="eastAsia"/>
                <w:sz w:val="21"/>
                <w:szCs w:val="21"/>
              </w:rPr>
              <w:t>注：</w:t>
            </w:r>
            <w:r>
              <w:rPr>
                <w:rFonts w:hint="default"/>
                <w:sz w:val="21"/>
                <w:szCs w:val="21"/>
              </w:rPr>
              <w:t>是否为可行技术</w:t>
            </w:r>
            <w:r>
              <w:rPr>
                <w:rFonts w:hint="eastAsia"/>
                <w:sz w:val="21"/>
                <w:szCs w:val="21"/>
              </w:rPr>
              <w:t>根据《</w:t>
            </w:r>
            <w:r>
              <w:rPr>
                <w:rFonts w:hint="default"/>
                <w:sz w:val="21"/>
                <w:szCs w:val="21"/>
              </w:rPr>
              <w:t>排污许可证申请与核发技术规范 铁路、船舶、航空航天和其他运输设备制造业</w:t>
            </w:r>
            <w:r>
              <w:rPr>
                <w:rFonts w:hint="eastAsia"/>
                <w:sz w:val="21"/>
                <w:szCs w:val="21"/>
              </w:rPr>
              <w:t>》（</w:t>
            </w:r>
            <w:r>
              <w:rPr>
                <w:rFonts w:hint="default"/>
                <w:sz w:val="21"/>
                <w:szCs w:val="21"/>
              </w:rPr>
              <w:t>HJ 1124—2020</w:t>
            </w:r>
            <w:r>
              <w:rPr>
                <w:rFonts w:hint="eastAsia"/>
                <w:sz w:val="21"/>
                <w:szCs w:val="21"/>
              </w:rPr>
              <w:t>）附录C确定。</w:t>
            </w:r>
          </w:p>
          <w:p>
            <w:pPr>
              <w:pStyle w:val="49"/>
              <w:keepNext w:val="0"/>
              <w:keepLines w:val="0"/>
              <w:widowControl/>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eastAsia"/>
                <w:color w:val="auto"/>
                <w:sz w:val="21"/>
                <w:szCs w:val="21"/>
              </w:rPr>
              <w:t>表4</w:t>
            </w:r>
            <w:r>
              <w:rPr>
                <w:rFonts w:hint="eastAsia"/>
                <w:color w:val="auto"/>
                <w:sz w:val="21"/>
                <w:szCs w:val="21"/>
                <w:lang w:val="en-US" w:eastAsia="zh-CN"/>
              </w:rPr>
              <w:t xml:space="preserve">-2  </w:t>
            </w:r>
            <w:r>
              <w:rPr>
                <w:rFonts w:hint="eastAsia" w:ascii="Times New Roman" w:hAnsi="Times New Roman" w:eastAsia="宋体" w:cs="Times New Roman"/>
                <w:color w:val="auto"/>
                <w:sz w:val="21"/>
                <w:szCs w:val="21"/>
              </w:rPr>
              <w:t>排放口基本情况一览表</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1136"/>
              <w:gridCol w:w="688"/>
              <w:gridCol w:w="997"/>
              <w:gridCol w:w="873"/>
              <w:gridCol w:w="34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trPr>
              <w:tc>
                <w:tcPr>
                  <w:tcW w:w="992"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排气筒高度</w:t>
                  </w:r>
                  <w:r>
                    <w:rPr>
                      <w:rFonts w:hint="default" w:ascii="Calibri" w:hAnsi="Calibri" w:eastAsia="Times New Roman"/>
                      <w:szCs w:val="21"/>
                    </w:rPr>
                    <w:t>/m</w:t>
                  </w:r>
                </w:p>
              </w:tc>
              <w:tc>
                <w:tcPr>
                  <w:tcW w:w="1136"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排气筒出口内径</w:t>
                  </w:r>
                  <w:r>
                    <w:rPr>
                      <w:rFonts w:hint="default" w:ascii="Calibri" w:hAnsi="Calibri" w:eastAsia="Times New Roman"/>
                      <w:szCs w:val="21"/>
                    </w:rPr>
                    <w:t>/m</w:t>
                  </w:r>
                </w:p>
              </w:tc>
              <w:tc>
                <w:tcPr>
                  <w:tcW w:w="688"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温度</w:t>
                  </w:r>
                </w:p>
              </w:tc>
              <w:tc>
                <w:tcPr>
                  <w:tcW w:w="997"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名称</w:t>
                  </w:r>
                </w:p>
              </w:tc>
              <w:tc>
                <w:tcPr>
                  <w:tcW w:w="873"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default" w:ascii="Calibri" w:hAnsi="Calibri" w:eastAsia="Times New Roman"/>
                      <w:szCs w:val="21"/>
                    </w:rPr>
                    <w:t>类型</w:t>
                  </w:r>
                </w:p>
              </w:tc>
              <w:tc>
                <w:tcPr>
                  <w:tcW w:w="3464"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992"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15</w:t>
                  </w:r>
                </w:p>
              </w:tc>
              <w:tc>
                <w:tcPr>
                  <w:tcW w:w="1136"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0.6</w:t>
                  </w:r>
                </w:p>
              </w:tc>
              <w:tc>
                <w:tcPr>
                  <w:tcW w:w="688"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常温</w:t>
                  </w:r>
                </w:p>
              </w:tc>
              <w:tc>
                <w:tcPr>
                  <w:tcW w:w="997"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喷漆废气排气筒</w:t>
                  </w:r>
                </w:p>
              </w:tc>
              <w:tc>
                <w:tcPr>
                  <w:tcW w:w="873"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szCs w:val="21"/>
                    </w:rPr>
                    <w:t>主要排放口</w:t>
                  </w:r>
                </w:p>
              </w:tc>
              <w:tc>
                <w:tcPr>
                  <w:tcW w:w="3464"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szCs w:val="21"/>
                    </w:rPr>
                  </w:pPr>
                  <w:r>
                    <w:rPr>
                      <w:rFonts w:hint="eastAsia" w:ascii="Calibri" w:hAnsi="Calibri" w:eastAsia="Times New Roman" w:cs="Times New Roman"/>
                      <w:kern w:val="2"/>
                      <w:szCs w:val="21"/>
                    </w:rPr>
                    <w:t>执行《表面涂装（汽车制造及维修）挥发性有机物、镍排放标准》（DB43/1356-2017）中的要求</w:t>
                  </w:r>
                </w:p>
              </w:tc>
            </w:tr>
          </w:tbl>
          <w:p>
            <w:pPr>
              <w:pStyle w:val="10"/>
              <w:widowControl/>
              <w:suppressLineNumbers w:val="0"/>
              <w:adjustRightInd/>
              <w:snapToGrid/>
              <w:spacing w:beforeAutospacing="0" w:after="180" w:afterAutospacing="0"/>
              <w:ind w:left="567" w:right="0" w:firstLine="0" w:firstLineChars="0"/>
              <w:rPr>
                <w:rFonts w:hint="default" w:cs="Times New Roman"/>
                <w:sz w:val="21"/>
                <w:szCs w:val="21"/>
              </w:rPr>
            </w:pPr>
            <w:r>
              <w:rPr>
                <w:rFonts w:hint="default" w:cs="Times New Roman"/>
                <w:sz w:val="21"/>
                <w:szCs w:val="21"/>
              </w:rPr>
              <w:t>环境影响预测</w:t>
            </w:r>
          </w:p>
          <w:p>
            <w:pPr>
              <w:pStyle w:val="49"/>
              <w:keepNext w:val="0"/>
              <w:keepLines w:val="0"/>
              <w:widowControl/>
              <w:suppressLineNumbers w:val="0"/>
              <w:spacing w:before="0" w:beforeAutospacing="0" w:after="0" w:afterAutospacing="0"/>
              <w:ind w:left="0" w:right="0"/>
              <w:rPr>
                <w:rFonts w:hint="default"/>
                <w:sz w:val="21"/>
                <w:szCs w:val="21"/>
              </w:rPr>
            </w:pPr>
            <w:r>
              <w:rPr>
                <w:rFonts w:hint="eastAsia"/>
                <w:sz w:val="21"/>
                <w:szCs w:val="21"/>
              </w:rPr>
              <w:t>表4</w:t>
            </w:r>
            <w:r>
              <w:rPr>
                <w:rFonts w:hint="eastAsia"/>
                <w:sz w:val="21"/>
                <w:szCs w:val="21"/>
                <w:lang w:val="en-US" w:eastAsia="zh-CN"/>
              </w:rPr>
              <w:t>-2.1</w:t>
            </w:r>
            <w:r>
              <w:rPr>
                <w:rFonts w:hint="eastAsia"/>
                <w:sz w:val="21"/>
                <w:szCs w:val="21"/>
              </w:rPr>
              <w:t>评价因子和评价标准</w:t>
            </w: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7"/>
              <w:gridCol w:w="2127"/>
              <w:gridCol w:w="2129"/>
              <w:gridCol w:w="21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49" w:type="pct"/>
                </w:tcPr>
                <w:p>
                  <w:pPr>
                    <w:pStyle w:val="32"/>
                    <w:keepNext w:val="0"/>
                    <w:keepLines w:val="0"/>
                    <w:widowControl/>
                    <w:suppressLineNumbers w:val="0"/>
                    <w:bidi w:val="0"/>
                    <w:spacing w:before="0" w:beforeAutospacing="0" w:afterAutospacing="0"/>
                    <w:ind w:left="0" w:right="0"/>
                    <w:rPr>
                      <w:rFonts w:hint="default"/>
                    </w:rPr>
                  </w:pPr>
                  <w:r>
                    <w:rPr>
                      <w:rFonts w:hint="default"/>
                    </w:rPr>
                    <w:t>评价因子</w:t>
                  </w:r>
                </w:p>
              </w:tc>
              <w:tc>
                <w:tcPr>
                  <w:tcW w:w="1249" w:type="pct"/>
                </w:tcPr>
                <w:p>
                  <w:pPr>
                    <w:pStyle w:val="32"/>
                    <w:keepNext w:val="0"/>
                    <w:keepLines w:val="0"/>
                    <w:widowControl/>
                    <w:suppressLineNumbers w:val="0"/>
                    <w:bidi w:val="0"/>
                    <w:spacing w:before="0" w:beforeAutospacing="0" w:afterAutospacing="0"/>
                    <w:ind w:left="0" w:right="0"/>
                    <w:rPr>
                      <w:rFonts w:hint="default"/>
                    </w:rPr>
                  </w:pPr>
                  <w:r>
                    <w:rPr>
                      <w:rFonts w:hint="default"/>
                    </w:rPr>
                    <w:t>平均时段</w:t>
                  </w:r>
                </w:p>
              </w:tc>
              <w:tc>
                <w:tcPr>
                  <w:tcW w:w="1250" w:type="pct"/>
                </w:tcPr>
                <w:p>
                  <w:pPr>
                    <w:pStyle w:val="32"/>
                    <w:keepNext w:val="0"/>
                    <w:keepLines w:val="0"/>
                    <w:widowControl/>
                    <w:suppressLineNumbers w:val="0"/>
                    <w:bidi w:val="0"/>
                    <w:spacing w:before="0" w:beforeAutospacing="0" w:afterAutospacing="0"/>
                    <w:ind w:left="0" w:right="0"/>
                    <w:rPr>
                      <w:rFonts w:hint="default"/>
                    </w:rPr>
                  </w:pPr>
                  <w:r>
                    <w:rPr>
                      <w:rFonts w:hint="default"/>
                    </w:rPr>
                    <w:t>标准值（ug/</w:t>
                  </w:r>
                  <w:r>
                    <w:rPr>
                      <w:rFonts w:hint="eastAsia"/>
                    </w:rPr>
                    <w:t>m³</w:t>
                  </w:r>
                  <w:r>
                    <w:rPr>
                      <w:rFonts w:hint="default"/>
                    </w:rPr>
                    <w:t>）</w:t>
                  </w:r>
                </w:p>
              </w:tc>
              <w:tc>
                <w:tcPr>
                  <w:tcW w:w="1250" w:type="pct"/>
                </w:tcPr>
                <w:p>
                  <w:pPr>
                    <w:pStyle w:val="32"/>
                    <w:keepNext w:val="0"/>
                    <w:keepLines w:val="0"/>
                    <w:widowControl/>
                    <w:suppressLineNumbers w:val="0"/>
                    <w:bidi w:val="0"/>
                    <w:spacing w:before="0" w:beforeAutospacing="0" w:afterAutospacing="0"/>
                    <w:ind w:left="0" w:right="0"/>
                    <w:rPr>
                      <w:rFonts w:hint="default"/>
                    </w:rPr>
                  </w:pPr>
                  <w:r>
                    <w:rPr>
                      <w:rFonts w:hint="default"/>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49" w:type="pct"/>
                </w:tcPr>
                <w:p>
                  <w:pPr>
                    <w:pStyle w:val="32"/>
                    <w:keepNext w:val="0"/>
                    <w:keepLines w:val="0"/>
                    <w:widowControl/>
                    <w:suppressLineNumbers w:val="0"/>
                    <w:bidi w:val="0"/>
                    <w:spacing w:before="0" w:beforeAutospacing="0" w:afterAutospacing="0"/>
                    <w:ind w:left="0" w:right="0"/>
                    <w:rPr>
                      <w:rFonts w:hint="default"/>
                    </w:rPr>
                  </w:pPr>
                  <w:r>
                    <w:rPr>
                      <w:rFonts w:hint="eastAsia"/>
                    </w:rPr>
                    <w:t>TSP</w:t>
                  </w:r>
                </w:p>
              </w:tc>
              <w:tc>
                <w:tcPr>
                  <w:tcW w:w="1249" w:type="pct"/>
                </w:tcPr>
                <w:p>
                  <w:pPr>
                    <w:pStyle w:val="32"/>
                    <w:keepNext w:val="0"/>
                    <w:keepLines w:val="0"/>
                    <w:widowControl/>
                    <w:suppressLineNumbers w:val="0"/>
                    <w:bidi w:val="0"/>
                    <w:spacing w:before="0" w:beforeAutospacing="0" w:afterAutospacing="0"/>
                    <w:ind w:left="0" w:right="0"/>
                    <w:rPr>
                      <w:rFonts w:hint="default"/>
                    </w:rPr>
                  </w:pPr>
                  <w:r>
                    <w:rPr>
                      <w:rFonts w:hint="eastAsia"/>
                    </w:rPr>
                    <w:t>24</w:t>
                  </w:r>
                  <w:r>
                    <w:rPr>
                      <w:rFonts w:hint="default"/>
                    </w:rPr>
                    <w:t>h平均</w:t>
                  </w:r>
                </w:p>
              </w:tc>
              <w:tc>
                <w:tcPr>
                  <w:tcW w:w="1250" w:type="pct"/>
                </w:tcPr>
                <w:p>
                  <w:pPr>
                    <w:pStyle w:val="32"/>
                    <w:keepNext w:val="0"/>
                    <w:keepLines w:val="0"/>
                    <w:widowControl/>
                    <w:suppressLineNumbers w:val="0"/>
                    <w:bidi w:val="0"/>
                    <w:spacing w:before="0" w:beforeAutospacing="0" w:afterAutospacing="0"/>
                    <w:ind w:left="0" w:right="0"/>
                    <w:rPr>
                      <w:rFonts w:hint="default"/>
                    </w:rPr>
                  </w:pPr>
                  <w:r>
                    <w:rPr>
                      <w:rFonts w:hint="eastAsia"/>
                    </w:rPr>
                    <w:t>3</w:t>
                  </w:r>
                  <w:r>
                    <w:rPr>
                      <w:rFonts w:hint="default"/>
                    </w:rPr>
                    <w:t>00</w:t>
                  </w:r>
                </w:p>
              </w:tc>
              <w:tc>
                <w:tcPr>
                  <w:tcW w:w="1250" w:type="pct"/>
                </w:tcPr>
                <w:p>
                  <w:pPr>
                    <w:pStyle w:val="32"/>
                    <w:keepNext w:val="0"/>
                    <w:keepLines w:val="0"/>
                    <w:widowControl/>
                    <w:suppressLineNumbers w:val="0"/>
                    <w:bidi w:val="0"/>
                    <w:spacing w:before="0" w:beforeAutospacing="0" w:afterAutospacing="0"/>
                    <w:ind w:left="0" w:right="0"/>
                    <w:rPr>
                      <w:rFonts w:hint="default"/>
                    </w:rPr>
                  </w:pPr>
                  <w:r>
                    <w:rPr>
                      <w:rFonts w:hint="eastAsia"/>
                    </w:rPr>
                    <w:t>GB3095-2012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49" w:type="pct"/>
                </w:tcPr>
                <w:p>
                  <w:pPr>
                    <w:pStyle w:val="32"/>
                    <w:keepNext w:val="0"/>
                    <w:keepLines w:val="0"/>
                    <w:widowControl/>
                    <w:suppressLineNumbers w:val="0"/>
                    <w:bidi w:val="0"/>
                    <w:spacing w:before="0" w:beforeAutospacing="0" w:afterAutospacing="0"/>
                    <w:ind w:left="0" w:right="0"/>
                    <w:rPr>
                      <w:rFonts w:hint="default"/>
                    </w:rPr>
                  </w:pPr>
                  <w:r>
                    <w:rPr>
                      <w:rFonts w:hint="eastAsia"/>
                    </w:rPr>
                    <w:t>TVOC</w:t>
                  </w:r>
                </w:p>
              </w:tc>
              <w:tc>
                <w:tcPr>
                  <w:tcW w:w="1249" w:type="pct"/>
                </w:tcPr>
                <w:p>
                  <w:pPr>
                    <w:pStyle w:val="32"/>
                    <w:keepNext w:val="0"/>
                    <w:keepLines w:val="0"/>
                    <w:widowControl/>
                    <w:suppressLineNumbers w:val="0"/>
                    <w:bidi w:val="0"/>
                    <w:spacing w:before="0" w:beforeAutospacing="0" w:afterAutospacing="0"/>
                    <w:ind w:left="0" w:right="0"/>
                    <w:rPr>
                      <w:rFonts w:hint="default"/>
                    </w:rPr>
                  </w:pPr>
                  <w:r>
                    <w:rPr>
                      <w:rFonts w:hint="eastAsia"/>
                    </w:rPr>
                    <w:t>8</w:t>
                  </w:r>
                  <w:r>
                    <w:rPr>
                      <w:rFonts w:hint="default"/>
                    </w:rPr>
                    <w:t>h平均</w:t>
                  </w:r>
                </w:p>
              </w:tc>
              <w:tc>
                <w:tcPr>
                  <w:tcW w:w="1250" w:type="pct"/>
                </w:tcPr>
                <w:p>
                  <w:pPr>
                    <w:pStyle w:val="32"/>
                    <w:keepNext w:val="0"/>
                    <w:keepLines w:val="0"/>
                    <w:widowControl/>
                    <w:suppressLineNumbers w:val="0"/>
                    <w:bidi w:val="0"/>
                    <w:spacing w:before="0" w:beforeAutospacing="0" w:afterAutospacing="0"/>
                    <w:ind w:left="0" w:right="0"/>
                    <w:rPr>
                      <w:rFonts w:hint="default"/>
                    </w:rPr>
                  </w:pPr>
                  <w:r>
                    <w:rPr>
                      <w:rFonts w:hint="eastAsia"/>
                    </w:rPr>
                    <w:t>600</w:t>
                  </w:r>
                </w:p>
              </w:tc>
              <w:tc>
                <w:tcPr>
                  <w:tcW w:w="1250" w:type="pct"/>
                </w:tcPr>
                <w:p>
                  <w:pPr>
                    <w:pStyle w:val="32"/>
                    <w:keepNext w:val="0"/>
                    <w:keepLines w:val="0"/>
                    <w:widowControl/>
                    <w:suppressLineNumbers w:val="0"/>
                    <w:bidi w:val="0"/>
                    <w:spacing w:before="0" w:beforeAutospacing="0" w:afterAutospacing="0"/>
                    <w:ind w:left="0" w:right="0"/>
                    <w:rPr>
                      <w:rFonts w:hint="default"/>
                    </w:rPr>
                  </w:pPr>
                  <w:r>
                    <w:rPr>
                      <w:rFonts w:hint="eastAsia"/>
                    </w:rPr>
                    <w:t>HJ 2.2—2018</w:t>
                  </w:r>
                </w:p>
              </w:tc>
            </w:tr>
          </w:tbl>
          <w:p>
            <w:pPr>
              <w:pStyle w:val="49"/>
              <w:keepNext w:val="0"/>
              <w:keepLines w:val="0"/>
              <w:widowControl/>
              <w:suppressLineNumbers w:val="0"/>
              <w:spacing w:before="0" w:beforeAutospacing="0" w:after="0" w:afterAutospacing="0"/>
              <w:ind w:left="0" w:right="0"/>
              <w:rPr>
                <w:rFonts w:hint="default"/>
                <w:sz w:val="21"/>
                <w:szCs w:val="21"/>
              </w:rPr>
            </w:pPr>
            <w:r>
              <w:rPr>
                <w:rFonts w:hint="eastAsia"/>
                <w:sz w:val="21"/>
                <w:szCs w:val="21"/>
              </w:rPr>
              <w:t>表4</w:t>
            </w:r>
            <w:r>
              <w:rPr>
                <w:rFonts w:hint="eastAsia"/>
                <w:sz w:val="21"/>
                <w:szCs w:val="21"/>
                <w:lang w:val="en-US" w:eastAsia="zh-CN"/>
              </w:rPr>
              <w:t>-2.2</w:t>
            </w:r>
            <w:r>
              <w:rPr>
                <w:rFonts w:hint="eastAsia"/>
                <w:sz w:val="21"/>
                <w:szCs w:val="21"/>
              </w:rPr>
              <w:t xml:space="preserve">  </w:t>
            </w:r>
            <w:r>
              <w:rPr>
                <w:rFonts w:hint="default"/>
                <w:sz w:val="21"/>
                <w:szCs w:val="21"/>
              </w:rPr>
              <w:t>估算模型参数</w:t>
            </w:r>
          </w:p>
          <w:tbl>
            <w:tblPr>
              <w:tblStyle w:val="2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1" w:type="dxa"/>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参数</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城市/农村选项</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城市/农村</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农村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人口数（城市选项时）</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1" w:type="dxa"/>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最高环境温度/</w:t>
                  </w:r>
                  <w:r>
                    <w:rPr>
                      <w:rFonts w:hint="eastAsia" w:ascii="Calibri" w:hAnsi="Calibri" w:eastAsia="Times New Roman" w:cs="Times New Roman"/>
                      <w:sz w:val="21"/>
                      <w:szCs w:val="21"/>
                    </w:rPr>
                    <w:t>℃</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39.</w:t>
                  </w:r>
                  <w:r>
                    <w:rPr>
                      <w:rFonts w:hint="eastAsia" w:ascii="Calibri" w:hAnsi="Calibri" w:eastAsia="Times New Roman" w:cs="Times New Roman"/>
                      <w:sz w:val="21"/>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1" w:type="dxa"/>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最低环境温度/</w:t>
                  </w:r>
                  <w:r>
                    <w:rPr>
                      <w:rFonts w:hint="eastAsia" w:ascii="Calibri" w:hAnsi="Calibri" w:eastAsia="Times New Roman" w:cs="Times New Roman"/>
                      <w:sz w:val="21"/>
                      <w:szCs w:val="21"/>
                    </w:rPr>
                    <w:t>℃</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-11.8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1" w:type="dxa"/>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土地利用类型</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城市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1" w:type="dxa"/>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区域湿度条件</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潮湿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是否考虑地形</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考虑地形</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是（复杂地形）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地形数据分辨率/m</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是否考虑岸线熏烟</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考虑岸线熏烟</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○是   √否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岸线距离/km</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840"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岸线方向/°</w:t>
                  </w:r>
                </w:p>
              </w:tc>
              <w:tc>
                <w:tcPr>
                  <w:tcW w:w="284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w:t>
                  </w:r>
                </w:p>
              </w:tc>
            </w:tr>
          </w:tbl>
          <w:p>
            <w:pPr>
              <w:pStyle w:val="49"/>
              <w:keepNext w:val="0"/>
              <w:keepLines w:val="0"/>
              <w:widowControl/>
              <w:suppressLineNumbers w:val="0"/>
              <w:spacing w:before="0" w:beforeAutospacing="0" w:after="0" w:afterAutospacing="0"/>
              <w:ind w:left="0" w:right="0"/>
              <w:rPr>
                <w:rFonts w:hint="eastAsia"/>
                <w:sz w:val="21"/>
                <w:szCs w:val="21"/>
              </w:rPr>
            </w:pPr>
          </w:p>
          <w:p>
            <w:pPr>
              <w:pStyle w:val="49"/>
              <w:keepNext w:val="0"/>
              <w:keepLines w:val="0"/>
              <w:widowControl/>
              <w:suppressLineNumbers w:val="0"/>
              <w:spacing w:before="0" w:beforeAutospacing="0" w:after="0" w:afterAutospacing="0"/>
              <w:ind w:left="0" w:right="0"/>
              <w:rPr>
                <w:rFonts w:hint="default"/>
                <w:sz w:val="21"/>
                <w:szCs w:val="21"/>
              </w:rPr>
            </w:pPr>
            <w:r>
              <w:rPr>
                <w:rFonts w:hint="eastAsia"/>
                <w:sz w:val="21"/>
                <w:szCs w:val="21"/>
              </w:rPr>
              <w:t>表4</w:t>
            </w:r>
            <w:r>
              <w:rPr>
                <w:rFonts w:hint="eastAsia"/>
                <w:sz w:val="21"/>
                <w:szCs w:val="21"/>
                <w:lang w:val="en-US" w:eastAsia="zh-CN"/>
              </w:rPr>
              <w:t>-2.3</w:t>
            </w:r>
            <w:r>
              <w:rPr>
                <w:rFonts w:hint="eastAsia"/>
                <w:sz w:val="21"/>
                <w:szCs w:val="21"/>
              </w:rPr>
              <w:t xml:space="preserve"> </w:t>
            </w:r>
            <w:r>
              <w:rPr>
                <w:rFonts w:hint="default"/>
                <w:sz w:val="21"/>
                <w:szCs w:val="21"/>
              </w:rPr>
              <w:t xml:space="preserve"> </w:t>
            </w:r>
            <w:r>
              <w:rPr>
                <w:rFonts w:hint="eastAsia"/>
                <w:sz w:val="21"/>
                <w:szCs w:val="21"/>
              </w:rPr>
              <w:t>矩形</w:t>
            </w:r>
            <w:r>
              <w:rPr>
                <w:rFonts w:hint="default"/>
                <w:sz w:val="21"/>
                <w:szCs w:val="21"/>
              </w:rPr>
              <w:t>面源参数表</w:t>
            </w:r>
          </w:p>
          <w:tbl>
            <w:tblPr>
              <w:tblStyle w:val="26"/>
              <w:tblW w:w="85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0"/>
              <w:gridCol w:w="656"/>
              <w:gridCol w:w="724"/>
              <w:gridCol w:w="704"/>
              <w:gridCol w:w="749"/>
              <w:gridCol w:w="1240"/>
              <w:gridCol w:w="995"/>
              <w:gridCol w:w="621"/>
              <w:gridCol w:w="1190"/>
              <w:gridCol w:w="11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08" w:hRule="atLeast"/>
              </w:trPr>
              <w:tc>
                <w:tcPr>
                  <w:tcW w:w="440"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编号</w:t>
                  </w:r>
                </w:p>
              </w:tc>
              <w:tc>
                <w:tcPr>
                  <w:tcW w:w="657"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名称</w:t>
                  </w:r>
                </w:p>
              </w:tc>
              <w:tc>
                <w:tcPr>
                  <w:tcW w:w="725"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面源海拔高度/m</w:t>
                  </w:r>
                </w:p>
              </w:tc>
              <w:tc>
                <w:tcPr>
                  <w:tcW w:w="695"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面源长度</w:t>
                  </w:r>
                  <w:r>
                    <w:rPr>
                      <w:rFonts w:hint="default" w:ascii="Calibri" w:hAnsi="Calibri" w:eastAsia="Times New Roman" w:cs="Times New Roman"/>
                      <w:sz w:val="21"/>
                      <w:szCs w:val="21"/>
                    </w:rPr>
                    <w:t>/m</w:t>
                  </w:r>
                </w:p>
              </w:tc>
              <w:tc>
                <w:tcPr>
                  <w:tcW w:w="749"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面源宽度</w:t>
                  </w:r>
                  <w:r>
                    <w:rPr>
                      <w:rFonts w:hint="default" w:ascii="Calibri" w:hAnsi="Calibri" w:eastAsia="Times New Roman" w:cs="Times New Roman"/>
                      <w:sz w:val="21"/>
                      <w:szCs w:val="21"/>
                    </w:rPr>
                    <w:t>/m</w:t>
                  </w:r>
                </w:p>
              </w:tc>
              <w:tc>
                <w:tcPr>
                  <w:tcW w:w="1243"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面源有效排放高度/m</w:t>
                  </w:r>
                </w:p>
              </w:tc>
              <w:tc>
                <w:tcPr>
                  <w:tcW w:w="996"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年排放小时数/h</w:t>
                  </w:r>
                </w:p>
              </w:tc>
              <w:tc>
                <w:tcPr>
                  <w:tcW w:w="622" w:type="dxa"/>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排放工况</w:t>
                  </w:r>
                </w:p>
              </w:tc>
              <w:tc>
                <w:tcPr>
                  <w:tcW w:w="2378" w:type="dxa"/>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污染物排放速率</w:t>
                  </w:r>
                  <w:r>
                    <w:rPr>
                      <w:rFonts w:hint="default" w:ascii="Calibri" w:hAnsi="Calibri" w:eastAsia="Times New Roman" w:cs="Times New Roman"/>
                      <w:sz w:val="21"/>
                      <w:szCs w:val="21"/>
                    </w:rPr>
                    <w:t>/</w:t>
                  </w:r>
                  <w:r>
                    <w:rPr>
                      <w:rFonts w:hint="eastAsia" w:ascii="Calibri" w:hAnsi="Calibri" w:eastAsia="Times New Roman" w:cs="Times New Roman"/>
                      <w:sz w:val="21"/>
                      <w:szCs w:val="21"/>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trPr>
              <w:tc>
                <w:tcPr>
                  <w:tcW w:w="440"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657"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725"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695"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749"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1243"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996"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622" w:type="dxa"/>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119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颗粒物</w:t>
                  </w:r>
                </w:p>
              </w:tc>
              <w:tc>
                <w:tcPr>
                  <w:tcW w:w="1187"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VOCs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trPr>
              <w:tc>
                <w:tcPr>
                  <w:tcW w:w="440"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1</w:t>
                  </w:r>
                </w:p>
              </w:tc>
              <w:tc>
                <w:tcPr>
                  <w:tcW w:w="657"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焊接烟气</w:t>
                  </w:r>
                </w:p>
              </w:tc>
              <w:tc>
                <w:tcPr>
                  <w:tcW w:w="725"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37</w:t>
                  </w:r>
                </w:p>
              </w:tc>
              <w:tc>
                <w:tcPr>
                  <w:tcW w:w="695"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378m</w:t>
                  </w:r>
                </w:p>
              </w:tc>
              <w:tc>
                <w:tcPr>
                  <w:tcW w:w="749"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128m</w:t>
                  </w:r>
                </w:p>
              </w:tc>
              <w:tc>
                <w:tcPr>
                  <w:tcW w:w="1243"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15</w:t>
                  </w:r>
                </w:p>
              </w:tc>
              <w:tc>
                <w:tcPr>
                  <w:tcW w:w="996"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2000</w:t>
                  </w:r>
                </w:p>
              </w:tc>
              <w:tc>
                <w:tcPr>
                  <w:tcW w:w="622"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w:t>
                  </w:r>
                </w:p>
              </w:tc>
              <w:tc>
                <w:tcPr>
                  <w:tcW w:w="1191"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u w:val="single"/>
                    </w:rPr>
                    <w:t>0.</w:t>
                  </w:r>
                  <w:r>
                    <w:rPr>
                      <w:rFonts w:hint="eastAsia"/>
                      <w:u w:val="single"/>
                    </w:rPr>
                    <w:t>256</w:t>
                  </w:r>
                  <w:r>
                    <w:rPr>
                      <w:rFonts w:hint="default"/>
                      <w:u w:val="single"/>
                    </w:rPr>
                    <w:t>3</w:t>
                  </w:r>
                </w:p>
              </w:tc>
              <w:tc>
                <w:tcPr>
                  <w:tcW w:w="1187"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63" w:hRule="atLeast"/>
              </w:trPr>
              <w:tc>
                <w:tcPr>
                  <w:tcW w:w="440"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2</w:t>
                  </w:r>
                </w:p>
              </w:tc>
              <w:tc>
                <w:tcPr>
                  <w:tcW w:w="657"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宋体" w:cs="Times New Roman"/>
                      <w:bCs/>
                      <w:sz w:val="21"/>
                      <w:szCs w:val="21"/>
                      <w:lang w:val="en-US" w:eastAsia="zh-CN" w:bidi="ar-SA"/>
                    </w:rPr>
                  </w:pPr>
                  <w:r>
                    <w:rPr>
                      <w:rFonts w:hint="eastAsia" w:ascii="Calibri" w:hAnsi="Calibri" w:eastAsia="宋体" w:cs="Times New Roman"/>
                      <w:sz w:val="21"/>
                      <w:szCs w:val="21"/>
                      <w:lang w:eastAsia="zh-CN"/>
                    </w:rPr>
                    <w:t>喷砂废气</w:t>
                  </w:r>
                </w:p>
              </w:tc>
              <w:tc>
                <w:tcPr>
                  <w:tcW w:w="725"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37</w:t>
                  </w:r>
                </w:p>
              </w:tc>
              <w:tc>
                <w:tcPr>
                  <w:tcW w:w="695"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378m</w:t>
                  </w:r>
                </w:p>
              </w:tc>
              <w:tc>
                <w:tcPr>
                  <w:tcW w:w="749"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128m</w:t>
                  </w:r>
                </w:p>
              </w:tc>
              <w:tc>
                <w:tcPr>
                  <w:tcW w:w="1243"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15</w:t>
                  </w:r>
                </w:p>
              </w:tc>
              <w:tc>
                <w:tcPr>
                  <w:tcW w:w="996"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2000</w:t>
                  </w:r>
                </w:p>
              </w:tc>
              <w:tc>
                <w:tcPr>
                  <w:tcW w:w="622"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w:t>
                  </w:r>
                </w:p>
              </w:tc>
              <w:tc>
                <w:tcPr>
                  <w:tcW w:w="1191"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default"/>
                      <w:u w:val="single"/>
                    </w:rPr>
                    <w:t>0.0</w:t>
                  </w:r>
                  <w:r>
                    <w:rPr>
                      <w:rFonts w:hint="eastAsia"/>
                      <w:u w:val="single"/>
                    </w:rPr>
                    <w:t>41</w:t>
                  </w:r>
                  <w:r>
                    <w:rPr>
                      <w:rFonts w:hint="default"/>
                      <w:u w:val="single"/>
                    </w:rPr>
                    <w:t>2</w:t>
                  </w:r>
                </w:p>
              </w:tc>
              <w:tc>
                <w:tcPr>
                  <w:tcW w:w="1187"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trPr>
              <w:tc>
                <w:tcPr>
                  <w:tcW w:w="440" w:type="dxa"/>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3</w:t>
                  </w:r>
                </w:p>
              </w:tc>
              <w:tc>
                <w:tcPr>
                  <w:tcW w:w="657"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切割废气</w:t>
                  </w:r>
                </w:p>
              </w:tc>
              <w:tc>
                <w:tcPr>
                  <w:tcW w:w="725"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37</w:t>
                  </w:r>
                </w:p>
              </w:tc>
              <w:tc>
                <w:tcPr>
                  <w:tcW w:w="695"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378m</w:t>
                  </w:r>
                </w:p>
              </w:tc>
              <w:tc>
                <w:tcPr>
                  <w:tcW w:w="749"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128m</w:t>
                  </w:r>
                </w:p>
              </w:tc>
              <w:tc>
                <w:tcPr>
                  <w:tcW w:w="1243"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15</w:t>
                  </w:r>
                </w:p>
              </w:tc>
              <w:tc>
                <w:tcPr>
                  <w:tcW w:w="996"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2000</w:t>
                  </w:r>
                </w:p>
              </w:tc>
              <w:tc>
                <w:tcPr>
                  <w:tcW w:w="622"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w:t>
                  </w:r>
                </w:p>
              </w:tc>
              <w:tc>
                <w:tcPr>
                  <w:tcW w:w="1191"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u w:val="single"/>
                    </w:rPr>
                    <w:t>1</w:t>
                  </w:r>
                  <w:r>
                    <w:rPr>
                      <w:rFonts w:hint="default"/>
                      <w:u w:val="single"/>
                    </w:rPr>
                    <w:t>.</w:t>
                  </w:r>
                  <w:r>
                    <w:rPr>
                      <w:rFonts w:hint="eastAsia"/>
                      <w:u w:val="single"/>
                    </w:rPr>
                    <w:t>7875</w:t>
                  </w:r>
                </w:p>
              </w:tc>
              <w:tc>
                <w:tcPr>
                  <w:tcW w:w="1187" w:type="dxa"/>
                  <w:vAlign w:val="center"/>
                </w:tcPr>
                <w:p>
                  <w:pPr>
                    <w:pStyle w:val="32"/>
                    <w:keepNext w:val="0"/>
                    <w:keepLines w:val="0"/>
                    <w:widowControl/>
                    <w:suppressLineNumbers w:val="0"/>
                    <w:spacing w:before="0" w:beforeAutospacing="0" w:afterAutospacing="0"/>
                    <w:ind w:left="0" w:right="0" w:firstLine="0" w:firstLineChars="0"/>
                    <w:rPr>
                      <w:rFonts w:hint="default"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16" w:hRule="atLeast"/>
              </w:trPr>
              <w:tc>
                <w:tcPr>
                  <w:tcW w:w="440" w:type="dxa"/>
                  <w:vAlign w:val="center"/>
                </w:tcPr>
                <w:p>
                  <w:pPr>
                    <w:pStyle w:val="32"/>
                    <w:keepNext w:val="0"/>
                    <w:keepLines w:val="0"/>
                    <w:widowControl/>
                    <w:suppressLineNumbers w:val="0"/>
                    <w:spacing w:before="0" w:beforeAutospacing="0" w:afterAutospacing="0"/>
                    <w:ind w:left="0" w:right="0"/>
                    <w:rPr>
                      <w:rFonts w:hint="eastAsia" w:ascii="Calibri" w:hAnsi="Calibri" w:eastAsia="宋体" w:cs="Times New Roman"/>
                      <w:sz w:val="21"/>
                      <w:szCs w:val="21"/>
                      <w:lang w:val="en-US" w:eastAsia="zh-CN"/>
                    </w:rPr>
                  </w:pPr>
                  <w:r>
                    <w:rPr>
                      <w:rFonts w:hint="eastAsia" w:ascii="Calibri" w:hAnsi="Calibri" w:eastAsia="宋体" w:cs="Times New Roman"/>
                      <w:sz w:val="21"/>
                      <w:szCs w:val="21"/>
                      <w:lang w:val="en-US" w:eastAsia="zh-CN"/>
                    </w:rPr>
                    <w:t>4</w:t>
                  </w:r>
                </w:p>
              </w:tc>
              <w:tc>
                <w:tcPr>
                  <w:tcW w:w="657"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没有收集到的喷漆废气</w:t>
                  </w:r>
                </w:p>
              </w:tc>
              <w:tc>
                <w:tcPr>
                  <w:tcW w:w="725"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37</w:t>
                  </w:r>
                </w:p>
              </w:tc>
              <w:tc>
                <w:tcPr>
                  <w:tcW w:w="695"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378m</w:t>
                  </w:r>
                </w:p>
              </w:tc>
              <w:tc>
                <w:tcPr>
                  <w:tcW w:w="749"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128m</w:t>
                  </w:r>
                </w:p>
              </w:tc>
              <w:tc>
                <w:tcPr>
                  <w:tcW w:w="1243"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15</w:t>
                  </w:r>
                </w:p>
              </w:tc>
              <w:tc>
                <w:tcPr>
                  <w:tcW w:w="996"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2000</w:t>
                  </w:r>
                </w:p>
              </w:tc>
              <w:tc>
                <w:tcPr>
                  <w:tcW w:w="622"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w:t>
                  </w:r>
                </w:p>
              </w:tc>
              <w:tc>
                <w:tcPr>
                  <w:tcW w:w="1191"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ascii="Calibri" w:hAnsi="Calibri" w:eastAsia="Times New Roman" w:cs="Times New Roman"/>
                      <w:sz w:val="21"/>
                      <w:szCs w:val="21"/>
                    </w:rPr>
                    <w:t>/</w:t>
                  </w:r>
                </w:p>
              </w:tc>
              <w:tc>
                <w:tcPr>
                  <w:tcW w:w="1187" w:type="dxa"/>
                  <w:vAlign w:val="center"/>
                </w:tcPr>
                <w:p>
                  <w:pPr>
                    <w:pStyle w:val="32"/>
                    <w:keepNext w:val="0"/>
                    <w:keepLines w:val="0"/>
                    <w:widowControl/>
                    <w:suppressLineNumbers w:val="0"/>
                    <w:spacing w:before="0" w:beforeAutospacing="0" w:afterAutospacing="0"/>
                    <w:ind w:left="0" w:right="0" w:firstLine="0" w:firstLineChars="0"/>
                    <w:rPr>
                      <w:rFonts w:hint="eastAsia" w:ascii="Calibri" w:hAnsi="Calibri" w:eastAsia="Times New Roman" w:cs="Times New Roman"/>
                      <w:bCs/>
                      <w:sz w:val="21"/>
                      <w:szCs w:val="21"/>
                      <w:lang w:val="en-US" w:eastAsia="zh-CN" w:bidi="ar-SA"/>
                    </w:rPr>
                  </w:pPr>
                  <w:r>
                    <w:rPr>
                      <w:rFonts w:hint="eastAsia"/>
                      <w:u w:val="single"/>
                    </w:rPr>
                    <w:t>0</w:t>
                  </w:r>
                  <w:r>
                    <w:rPr>
                      <w:rFonts w:hint="default"/>
                      <w:u w:val="single"/>
                    </w:rPr>
                    <w:t>.</w:t>
                  </w:r>
                  <w:r>
                    <w:rPr>
                      <w:rFonts w:hint="eastAsia"/>
                      <w:u w:val="single"/>
                    </w:rPr>
                    <w:t>4779</w:t>
                  </w:r>
                </w:p>
              </w:tc>
            </w:tr>
          </w:tbl>
          <w:p>
            <w:pPr>
              <w:pStyle w:val="16"/>
              <w:keepNext w:val="0"/>
              <w:keepLines w:val="0"/>
              <w:suppressLineNumbers w:val="0"/>
              <w:spacing w:before="0" w:beforeAutospacing="0" w:after="0" w:afterAutospacing="0"/>
              <w:ind w:left="0" w:leftChars="0" w:right="0" w:firstLine="422"/>
              <w:jc w:val="center"/>
              <w:rPr>
                <w:rFonts w:hint="default"/>
                <w:b/>
                <w:color w:val="000000" w:themeColor="text1"/>
                <w:sz w:val="21"/>
                <w:szCs w:val="21"/>
                <w14:textFill>
                  <w14:solidFill>
                    <w14:schemeClr w14:val="tx1"/>
                  </w14:solidFill>
                </w14:textFill>
              </w:rPr>
            </w:pPr>
          </w:p>
          <w:p>
            <w:pPr>
              <w:pStyle w:val="49"/>
              <w:keepNext w:val="0"/>
              <w:keepLines w:val="0"/>
              <w:widowControl/>
              <w:suppressLineNumbers w:val="0"/>
              <w:spacing w:before="0" w:beforeAutospacing="0" w:after="0" w:afterAutospacing="0"/>
              <w:ind w:left="0" w:right="0"/>
              <w:rPr>
                <w:rFonts w:hint="default"/>
                <w:color w:val="000000" w:themeColor="text1"/>
                <w:sz w:val="21"/>
                <w:szCs w:val="21"/>
                <w14:textFill>
                  <w14:solidFill>
                    <w14:schemeClr w14:val="tx1"/>
                  </w14:solidFill>
                </w14:textFill>
              </w:rPr>
            </w:pPr>
            <w:r>
              <w:rPr>
                <w:rFonts w:hint="eastAsia"/>
                <w:sz w:val="21"/>
                <w:szCs w:val="21"/>
              </w:rPr>
              <w:t>表4</w:t>
            </w:r>
            <w:r>
              <w:rPr>
                <w:rFonts w:hint="eastAsia"/>
                <w:sz w:val="21"/>
                <w:szCs w:val="21"/>
                <w:lang w:val="en-US" w:eastAsia="zh-CN"/>
              </w:rPr>
              <w:t>-2.4</w:t>
            </w:r>
            <w:r>
              <w:rPr>
                <w:rFonts w:hint="eastAsia"/>
                <w:color w:val="000000" w:themeColor="text1"/>
                <w:sz w:val="21"/>
                <w:szCs w:val="21"/>
                <w14:textFill>
                  <w14:solidFill>
                    <w14:schemeClr w14:val="tx1"/>
                  </w14:solidFill>
                </w14:textFill>
              </w:rPr>
              <w:t xml:space="preserve"> </w:t>
            </w:r>
            <w:r>
              <w:rPr>
                <w:rFonts w:hint="default"/>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点源</w:t>
            </w:r>
            <w:r>
              <w:rPr>
                <w:rFonts w:hint="default"/>
                <w:color w:val="000000" w:themeColor="text1"/>
                <w:sz w:val="21"/>
                <w:szCs w:val="21"/>
                <w14:textFill>
                  <w14:solidFill>
                    <w14:schemeClr w14:val="tx1"/>
                  </w14:solidFill>
                </w14:textFill>
              </w:rPr>
              <w:t>参数表</w:t>
            </w:r>
          </w:p>
          <w:tbl>
            <w:tblPr>
              <w:tblStyle w:val="26"/>
              <w:tblW w:w="499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8"/>
              <w:gridCol w:w="567"/>
              <w:gridCol w:w="739"/>
              <w:gridCol w:w="667"/>
              <w:gridCol w:w="681"/>
              <w:gridCol w:w="1100"/>
              <w:gridCol w:w="846"/>
              <w:gridCol w:w="858"/>
              <w:gridCol w:w="538"/>
              <w:gridCol w:w="1032"/>
              <w:gridCol w:w="10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5" w:hRule="atLeast"/>
              </w:trPr>
              <w:tc>
                <w:tcPr>
                  <w:tcW w:w="263"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编号</w:t>
                  </w:r>
                </w:p>
              </w:tc>
              <w:tc>
                <w:tcPr>
                  <w:tcW w:w="333"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名称</w:t>
                  </w:r>
                </w:p>
              </w:tc>
              <w:tc>
                <w:tcPr>
                  <w:tcW w:w="434"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面源海拔高度/m</w:t>
                  </w:r>
                </w:p>
              </w:tc>
              <w:tc>
                <w:tcPr>
                  <w:tcW w:w="392"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排气筒高度</w:t>
                  </w:r>
                  <w:r>
                    <w:rPr>
                      <w:rFonts w:hint="default" w:ascii="Calibri" w:hAnsi="Calibri" w:eastAsia="Times New Roman" w:cs="Times New Roman"/>
                      <w:sz w:val="21"/>
                      <w:szCs w:val="21"/>
                    </w:rPr>
                    <w:t>/m</w:t>
                  </w:r>
                </w:p>
              </w:tc>
              <w:tc>
                <w:tcPr>
                  <w:tcW w:w="400"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排气筒出口内径</w:t>
                  </w:r>
                  <w:r>
                    <w:rPr>
                      <w:rFonts w:hint="default" w:ascii="Calibri" w:hAnsi="Calibri" w:eastAsia="Times New Roman" w:cs="Times New Roman"/>
                      <w:sz w:val="21"/>
                      <w:szCs w:val="21"/>
                    </w:rPr>
                    <w:t>/m</w:t>
                  </w:r>
                </w:p>
              </w:tc>
              <w:tc>
                <w:tcPr>
                  <w:tcW w:w="646"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烟气流速/（</w:t>
                  </w:r>
                  <w:r>
                    <w:rPr>
                      <w:rFonts w:hint="eastAsia" w:cs="Times New Roman" w:asciiTheme="minorEastAsia" w:hAnsiTheme="minorEastAsia" w:eastAsiaTheme="minorEastAsia"/>
                      <w:sz w:val="21"/>
                      <w:szCs w:val="21"/>
                    </w:rPr>
                    <w:t>m³</w:t>
                  </w:r>
                  <w:r>
                    <w:rPr>
                      <w:rFonts w:hint="eastAsia" w:ascii="Calibri" w:hAnsi="Calibri" w:eastAsia="Times New Roman" w:cs="Times New Roman"/>
                      <w:sz w:val="21"/>
                      <w:szCs w:val="21"/>
                    </w:rPr>
                    <w:t>/</w:t>
                  </w:r>
                  <w:r>
                    <w:rPr>
                      <w:rFonts w:hint="default" w:ascii="Calibri" w:hAnsi="Calibri" w:eastAsia="Times New Roman" w:cs="Times New Roman"/>
                      <w:sz w:val="21"/>
                      <w:szCs w:val="21"/>
                    </w:rPr>
                    <w:t>h</w:t>
                  </w:r>
                  <w:r>
                    <w:rPr>
                      <w:rFonts w:hint="eastAsia" w:ascii="Calibri" w:hAnsi="Calibri" w:eastAsia="Times New Roman" w:cs="Times New Roman"/>
                      <w:sz w:val="21"/>
                      <w:szCs w:val="21"/>
                    </w:rPr>
                    <w:t>）</w:t>
                  </w:r>
                </w:p>
              </w:tc>
              <w:tc>
                <w:tcPr>
                  <w:tcW w:w="497"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烟气温度/℃</w:t>
                  </w:r>
                </w:p>
              </w:tc>
              <w:tc>
                <w:tcPr>
                  <w:tcW w:w="504"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年排放小时数/h</w:t>
                  </w:r>
                </w:p>
              </w:tc>
              <w:tc>
                <w:tcPr>
                  <w:tcW w:w="316" w:type="pct"/>
                  <w:vMerge w:val="restar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排放工况</w:t>
                  </w:r>
                </w:p>
              </w:tc>
              <w:tc>
                <w:tcPr>
                  <w:tcW w:w="1211" w:type="pct"/>
                  <w:gridSpan w:val="2"/>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污染物排放速率</w:t>
                  </w:r>
                  <w:r>
                    <w:rPr>
                      <w:rFonts w:hint="default" w:ascii="Calibri" w:hAnsi="Calibri" w:eastAsia="Times New Roman" w:cs="Times New Roman"/>
                      <w:sz w:val="21"/>
                      <w:szCs w:val="21"/>
                    </w:rPr>
                    <w:t>/</w:t>
                  </w:r>
                  <w:r>
                    <w:rPr>
                      <w:rFonts w:hint="eastAsia" w:ascii="Calibri" w:hAnsi="Calibri" w:eastAsia="Times New Roman" w:cs="Times New Roman"/>
                      <w:sz w:val="21"/>
                      <w:szCs w:val="21"/>
                    </w:rPr>
                    <w:t>（kg/h）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263"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333"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434"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392"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400"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646"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497"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504"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316" w:type="pct"/>
                  <w:vMerge w:val="continue"/>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p>
              </w:tc>
              <w:tc>
                <w:tcPr>
                  <w:tcW w:w="606"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颗粒物</w:t>
                  </w:r>
                </w:p>
              </w:tc>
              <w:tc>
                <w:tcPr>
                  <w:tcW w:w="604"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VOCs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3" w:hRule="atLeast"/>
              </w:trPr>
              <w:tc>
                <w:tcPr>
                  <w:tcW w:w="263" w:type="pct"/>
                  <w:vAlign w:val="center"/>
                </w:tcPr>
                <w:p>
                  <w:pPr>
                    <w:pStyle w:val="32"/>
                    <w:keepNext w:val="0"/>
                    <w:keepLines w:val="0"/>
                    <w:widowControl/>
                    <w:suppressLineNumbers w:val="0"/>
                    <w:spacing w:before="0" w:beforeAutospacing="0" w:afterAutospacing="0"/>
                    <w:ind w:left="0" w:right="0"/>
                    <w:rPr>
                      <w:rFonts w:hint="eastAsia" w:ascii="Calibri" w:hAnsi="Calibri" w:eastAsia="宋体" w:cs="Times New Roman"/>
                      <w:sz w:val="21"/>
                      <w:szCs w:val="21"/>
                      <w:lang w:eastAsia="zh-CN"/>
                    </w:rPr>
                  </w:pPr>
                  <w:r>
                    <w:rPr>
                      <w:rFonts w:hint="eastAsia" w:ascii="Calibri" w:hAnsi="Calibri" w:eastAsia="宋体" w:cs="Times New Roman"/>
                      <w:sz w:val="21"/>
                      <w:szCs w:val="21"/>
                      <w:lang w:val="en-US" w:eastAsia="zh-CN"/>
                    </w:rPr>
                    <w:t>1</w:t>
                  </w:r>
                </w:p>
              </w:tc>
              <w:tc>
                <w:tcPr>
                  <w:tcW w:w="333"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喷漆废气</w:t>
                  </w:r>
                </w:p>
              </w:tc>
              <w:tc>
                <w:tcPr>
                  <w:tcW w:w="434"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37</w:t>
                  </w:r>
                </w:p>
              </w:tc>
              <w:tc>
                <w:tcPr>
                  <w:tcW w:w="392"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15</w:t>
                  </w:r>
                </w:p>
              </w:tc>
              <w:tc>
                <w:tcPr>
                  <w:tcW w:w="400"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0.6</w:t>
                  </w:r>
                </w:p>
              </w:tc>
              <w:tc>
                <w:tcPr>
                  <w:tcW w:w="646"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default" w:ascii="Calibri" w:hAnsi="Calibri" w:eastAsia="Times New Roman" w:cs="Times New Roman"/>
                      <w:sz w:val="21"/>
                      <w:szCs w:val="21"/>
                    </w:rPr>
                    <w:t>10000</w:t>
                  </w:r>
                </w:p>
              </w:tc>
              <w:tc>
                <w:tcPr>
                  <w:tcW w:w="497"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常温</w:t>
                  </w:r>
                </w:p>
              </w:tc>
              <w:tc>
                <w:tcPr>
                  <w:tcW w:w="504"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2000</w:t>
                  </w:r>
                </w:p>
              </w:tc>
              <w:tc>
                <w:tcPr>
                  <w:tcW w:w="316"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w:t>
                  </w:r>
                </w:p>
              </w:tc>
              <w:tc>
                <w:tcPr>
                  <w:tcW w:w="606"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ascii="Calibri" w:hAnsi="Calibri" w:eastAsia="Times New Roman" w:cs="Times New Roman"/>
                      <w:sz w:val="21"/>
                      <w:szCs w:val="21"/>
                    </w:rPr>
                    <w:t>/</w:t>
                  </w:r>
                </w:p>
              </w:tc>
              <w:tc>
                <w:tcPr>
                  <w:tcW w:w="604" w:type="pct"/>
                  <w:vAlign w:val="center"/>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 w:val="21"/>
                      <w:szCs w:val="21"/>
                    </w:rPr>
                  </w:pPr>
                  <w:r>
                    <w:rPr>
                      <w:rFonts w:hint="eastAsia"/>
                      <w:szCs w:val="21"/>
                    </w:rPr>
                    <w:t>0.181</w:t>
                  </w:r>
                </w:p>
              </w:tc>
            </w:tr>
          </w:tbl>
          <w:p>
            <w:pPr>
              <w:keepNext w:val="0"/>
              <w:keepLines w:val="0"/>
              <w:widowControl/>
              <w:suppressLineNumbers w:val="0"/>
              <w:spacing w:before="0" w:beforeAutospacing="0" w:after="200" w:afterAutospacing="0"/>
              <w:ind w:left="0" w:right="0" w:firstLine="480"/>
              <w:rPr>
                <w:rFonts w:hint="default"/>
                <w:sz w:val="21"/>
                <w:szCs w:val="21"/>
              </w:rPr>
            </w:pPr>
            <w:r>
              <w:rPr>
                <w:rFonts w:hint="default"/>
                <w:sz w:val="21"/>
                <w:szCs w:val="21"/>
              </w:rPr>
              <w:t>根据《环境影响评价技术导则 大气环境（HJ 2.2-2018）》，采用AERSCREEN进行估算。结果见</w:t>
            </w:r>
            <w:r>
              <w:rPr>
                <w:rFonts w:hint="eastAsia"/>
                <w:sz w:val="21"/>
                <w:szCs w:val="21"/>
              </w:rPr>
              <w:t>下表</w:t>
            </w:r>
            <w:r>
              <w:rPr>
                <w:rFonts w:hint="default"/>
                <w:sz w:val="21"/>
                <w:szCs w:val="21"/>
              </w:rPr>
              <w:t>。</w:t>
            </w:r>
          </w:p>
          <w:p>
            <w:pPr>
              <w:pStyle w:val="49"/>
              <w:keepNext w:val="0"/>
              <w:keepLines w:val="0"/>
              <w:widowControl/>
              <w:suppressLineNumbers w:val="0"/>
              <w:spacing w:before="0" w:beforeAutospacing="0" w:after="0" w:afterAutospacing="0"/>
              <w:ind w:left="0" w:right="0"/>
              <w:rPr>
                <w:rFonts w:hint="default"/>
                <w:color w:val="000000" w:themeColor="text1"/>
                <w:sz w:val="21"/>
                <w:szCs w:val="21"/>
                <w14:textFill>
                  <w14:solidFill>
                    <w14:schemeClr w14:val="tx1"/>
                  </w14:solidFill>
                </w14:textFill>
              </w:rPr>
            </w:pPr>
            <w:r>
              <w:rPr>
                <w:rFonts w:hint="eastAsia"/>
                <w:sz w:val="21"/>
                <w:szCs w:val="21"/>
              </w:rPr>
              <w:t>表4</w:t>
            </w:r>
            <w:r>
              <w:rPr>
                <w:rFonts w:hint="eastAsia"/>
                <w:sz w:val="21"/>
                <w:szCs w:val="21"/>
                <w:lang w:val="en-US" w:eastAsia="zh-CN"/>
              </w:rPr>
              <w:t>-2.5</w:t>
            </w:r>
            <w:r>
              <w:rPr>
                <w:rFonts w:hint="default"/>
                <w:color w:val="000000" w:themeColor="text1"/>
                <w:sz w:val="21"/>
                <w:szCs w:val="21"/>
                <w14:textFill>
                  <w14:solidFill>
                    <w14:schemeClr w14:val="tx1"/>
                  </w14:solidFill>
                </w14:textFill>
              </w:rPr>
              <w:t xml:space="preserve">  无组织排放的</w:t>
            </w:r>
            <w:r>
              <w:rPr>
                <w:rFonts w:hint="eastAsia"/>
                <w:color w:val="000000" w:themeColor="text1"/>
                <w:sz w:val="21"/>
                <w:szCs w:val="21"/>
                <w14:textFill>
                  <w14:solidFill>
                    <w14:schemeClr w14:val="tx1"/>
                  </w14:solidFill>
                </w14:textFill>
              </w:rPr>
              <w:t>颗粒物</w:t>
            </w:r>
            <w:r>
              <w:rPr>
                <w:rFonts w:hint="eastAsia"/>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VOC</w:t>
            </w:r>
            <w:r>
              <w:rPr>
                <w:rFonts w:hint="default"/>
                <w:color w:val="000000" w:themeColor="text1"/>
                <w:sz w:val="21"/>
                <w:szCs w:val="21"/>
                <w14:textFill>
                  <w14:solidFill>
                    <w14:schemeClr w14:val="tx1"/>
                  </w14:solidFill>
                </w14:textFill>
              </w:rPr>
              <w:t>估算模式计算结果表</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62"/>
              <w:gridCol w:w="1314"/>
              <w:gridCol w:w="2061"/>
              <w:gridCol w:w="1315"/>
              <w:gridCol w:w="2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5" w:hRule="atLeast"/>
              </w:trPr>
              <w:tc>
                <w:tcPr>
                  <w:tcW w:w="1035" w:type="pct"/>
                  <w:vMerge w:val="restar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离源距离</w:t>
                  </w:r>
                  <w:r>
                    <w:rPr>
                      <w:rFonts w:hint="default"/>
                      <w:sz w:val="21"/>
                      <w:szCs w:val="21"/>
                    </w:rPr>
                    <w:t>(m)</w:t>
                  </w:r>
                </w:p>
              </w:tc>
              <w:tc>
                <w:tcPr>
                  <w:tcW w:w="1982" w:type="pct"/>
                  <w:gridSpan w:val="2"/>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TSP</w:t>
                  </w:r>
                </w:p>
              </w:tc>
              <w:tc>
                <w:tcPr>
                  <w:tcW w:w="1982" w:type="pct"/>
                  <w:gridSpan w:val="2"/>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TVOC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vMerge w:val="continue"/>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占标率</w:t>
                  </w:r>
                  <w:r>
                    <w:rPr>
                      <w:rFonts w:hint="default"/>
                      <w:sz w:val="21"/>
                      <w:szCs w:val="21"/>
                    </w:rPr>
                    <w:t>%</w:t>
                  </w:r>
                </w:p>
              </w:tc>
              <w:tc>
                <w:tcPr>
                  <w:tcW w:w="1209"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1h浓度ug/m^3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占标率</w:t>
                  </w:r>
                  <w:r>
                    <w:rPr>
                      <w:rFonts w:hint="default"/>
                      <w:sz w:val="21"/>
                      <w:szCs w:val="21"/>
                    </w:rPr>
                    <w:t>%</w:t>
                  </w:r>
                </w:p>
              </w:tc>
              <w:tc>
                <w:tcPr>
                  <w:tcW w:w="1209"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1h浓度ug/m^3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10.542</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2.416317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11.503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2.636587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12.774</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2.927911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1.60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14.435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3.308627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15.651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0.30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3.587344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1.87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16.803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0.32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3.851393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147</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1.99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17.898</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0.34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4.102376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1.98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17.778</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0.34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4.074871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16.11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0.31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3.692551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15.411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3.532334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1.53</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13.799</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0.26</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3.16285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12.739</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2.919889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1.33</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11.927</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0.23</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2.733771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10.987</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2.518315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1.16</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10.426</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0.20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2.389729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9.9043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2.270151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9.4151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2.158022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9.0634</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2.07741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8.5062</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0.16</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1.949694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7.8864</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1.807631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0.86</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7.7376</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1.773525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7.4096</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1.698344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0.78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7.055901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0.13</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1.617273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0.75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6.7523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0.13</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1.547685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0.72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6.491701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1.487954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0.69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6.233901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1.428864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0.67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5.9921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1.373441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0.64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5.760201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1.320288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0.61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5.5193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1.265071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0.59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5.3058</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1.216135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0.57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5.1672</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1.184367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0.55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4.9845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0.10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1.14249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0.54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4.8197</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1.104717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0.52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4.6833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1.073453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0.50</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4.533101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1.039026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0.49</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4.3963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1.00767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4.2746</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0.979775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0.46</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4.149601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0.951124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925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0.45</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4.0333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0.924467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950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0.44</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3.9267</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0.08</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0.900034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975</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0.42</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3.811</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0.873514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03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1000</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0.41</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3.7153</w:t>
                  </w:r>
                </w:p>
              </w:tc>
              <w:tc>
                <w:tcPr>
                  <w:tcW w:w="772"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0.07</w:t>
                  </w:r>
                </w:p>
              </w:tc>
              <w:tc>
                <w:tcPr>
                  <w:tcW w:w="1209"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0.851579</w:t>
                  </w:r>
                </w:p>
              </w:tc>
            </w:tr>
          </w:tbl>
          <w:p>
            <w:pPr>
              <w:pStyle w:val="16"/>
              <w:keepNext w:val="0"/>
              <w:keepLines w:val="0"/>
              <w:suppressLineNumbers w:val="0"/>
              <w:spacing w:before="0" w:beforeAutospacing="0" w:after="0" w:afterAutospacing="0"/>
              <w:ind w:left="0" w:leftChars="0" w:right="0" w:firstLine="422"/>
              <w:jc w:val="center"/>
              <w:rPr>
                <w:rFonts w:hint="default"/>
                <w:b/>
                <w:color w:val="000000" w:themeColor="text1"/>
                <w:sz w:val="21"/>
                <w:szCs w:val="21"/>
                <w14:textFill>
                  <w14:solidFill>
                    <w14:schemeClr w14:val="tx1"/>
                  </w14:solidFill>
                </w14:textFill>
              </w:rPr>
            </w:pPr>
          </w:p>
          <w:p>
            <w:pPr>
              <w:pStyle w:val="49"/>
              <w:keepNext w:val="0"/>
              <w:keepLines w:val="0"/>
              <w:widowControl/>
              <w:suppressLineNumbers w:val="0"/>
              <w:spacing w:before="0" w:beforeAutospacing="0" w:after="0" w:afterAutospacing="0"/>
              <w:ind w:left="0" w:right="0"/>
              <w:rPr>
                <w:rFonts w:hint="default"/>
                <w:color w:val="000000" w:themeColor="text1"/>
                <w:sz w:val="21"/>
                <w:szCs w:val="21"/>
                <w14:textFill>
                  <w14:solidFill>
                    <w14:schemeClr w14:val="tx1"/>
                  </w14:solidFill>
                </w14:textFill>
              </w:rPr>
            </w:pPr>
            <w:r>
              <w:rPr>
                <w:rFonts w:hint="eastAsia"/>
                <w:sz w:val="21"/>
                <w:szCs w:val="21"/>
              </w:rPr>
              <w:t>表4</w:t>
            </w:r>
            <w:r>
              <w:rPr>
                <w:rFonts w:hint="eastAsia"/>
                <w:sz w:val="21"/>
                <w:szCs w:val="21"/>
                <w:lang w:val="en-US" w:eastAsia="zh-CN"/>
              </w:rPr>
              <w:t xml:space="preserve">-2.6 </w:t>
            </w:r>
            <w:r>
              <w:rPr>
                <w:rFonts w:hint="default"/>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有</w:t>
            </w:r>
            <w:r>
              <w:rPr>
                <w:rFonts w:hint="default"/>
                <w:color w:val="000000" w:themeColor="text1"/>
                <w:sz w:val="21"/>
                <w:szCs w:val="21"/>
                <w14:textFill>
                  <w14:solidFill>
                    <w14:schemeClr w14:val="tx1"/>
                  </w14:solidFill>
                </w14:textFill>
              </w:rPr>
              <w:t>组织排放</w:t>
            </w:r>
            <w:r>
              <w:rPr>
                <w:rFonts w:hint="eastAsia"/>
                <w:color w:val="000000" w:themeColor="text1"/>
                <w:sz w:val="21"/>
                <w:szCs w:val="21"/>
                <w:lang w:eastAsia="zh-CN"/>
                <w14:textFill>
                  <w14:solidFill>
                    <w14:schemeClr w14:val="tx1"/>
                  </w14:solidFill>
                </w14:textFill>
              </w:rPr>
              <w:t>的</w:t>
            </w:r>
            <w:r>
              <w:rPr>
                <w:rFonts w:hint="eastAsia"/>
                <w:color w:val="000000" w:themeColor="text1"/>
                <w:sz w:val="21"/>
                <w:szCs w:val="21"/>
                <w14:textFill>
                  <w14:solidFill>
                    <w14:schemeClr w14:val="tx1"/>
                  </w14:solidFill>
                </w14:textFill>
              </w:rPr>
              <w:t>VOC</w:t>
            </w:r>
            <w:r>
              <w:rPr>
                <w:rFonts w:hint="default"/>
                <w:color w:val="000000" w:themeColor="text1"/>
                <w:sz w:val="21"/>
                <w:szCs w:val="21"/>
                <w14:textFill>
                  <w14:solidFill>
                    <w14:schemeClr w14:val="tx1"/>
                  </w14:solidFill>
                </w14:textFill>
              </w:rPr>
              <w:t>估算模式计算结果表</w:t>
            </w:r>
          </w:p>
          <w:tbl>
            <w:tblPr>
              <w:tblStyle w:val="2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19"/>
              <w:gridCol w:w="2180"/>
              <w:gridCol w:w="34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vMerge w:val="restar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离源距离</w:t>
                  </w:r>
                  <w:r>
                    <w:rPr>
                      <w:rFonts w:hint="default"/>
                      <w:sz w:val="21"/>
                      <w:szCs w:val="21"/>
                    </w:rPr>
                    <w:t>(m)</w:t>
                  </w:r>
                </w:p>
              </w:tc>
              <w:tc>
                <w:tcPr>
                  <w:tcW w:w="3285" w:type="pct"/>
                  <w:gridSpan w:val="2"/>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TVOC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vMerge w:val="continue"/>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p>
              </w:tc>
              <w:tc>
                <w:tcPr>
                  <w:tcW w:w="1280"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占标率</w:t>
                  </w:r>
                  <w:r>
                    <w:rPr>
                      <w:rFonts w:hint="default"/>
                      <w:sz w:val="21"/>
                      <w:szCs w:val="21"/>
                    </w:rPr>
                    <w:t>%</w:t>
                  </w:r>
                </w:p>
              </w:tc>
              <w:tc>
                <w:tcPr>
                  <w:tcW w:w="2005"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1h</w:t>
                  </w:r>
                  <w:r>
                    <w:rPr>
                      <w:rFonts w:hint="eastAsia"/>
                      <w:sz w:val="21"/>
                      <w:szCs w:val="21"/>
                    </w:rPr>
                    <w:t>浓度</w:t>
                  </w:r>
                  <w:r>
                    <w:rPr>
                      <w:rFonts w:hint="default"/>
                      <w:sz w:val="21"/>
                      <w:szCs w:val="21"/>
                    </w:rPr>
                    <w:t>ug/m^3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0.09</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1.1064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0.85</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10.245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1.03</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20.871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1.58</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18.99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1.82</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21.885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20.828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1.09</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13.024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0.89</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10.719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0.83</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9.9809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275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0.78</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9.343001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0.76</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9.143201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0.92</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11.094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11.273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375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0.89</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10.664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0.91</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10.901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0.90</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10.801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0.87</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10.437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475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0.82</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9.8866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0.81</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9.7169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20.897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2.06</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24.719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575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2.16</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25.934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2.05</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24.564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1.94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23.242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18.423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675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1.74</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20.846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1.39</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16.683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1.26</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15.112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1.18</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14.195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775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1.46</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17.465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1.28</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15.374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1.30</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15.631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1.29</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15.455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875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0.95</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11.405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1.00</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11.953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925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1.17</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14.071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950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0.86</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10.355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975</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1.08</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14" w:type="pct"/>
                  <w:shd w:val="clear" w:color="auto" w:fill="auto"/>
                  <w:noWrap/>
                  <w:vAlign w:val="center"/>
                </w:tcPr>
                <w:p>
                  <w:pPr>
                    <w:pStyle w:val="52"/>
                    <w:keepNext w:val="0"/>
                    <w:keepLines w:val="0"/>
                    <w:suppressLineNumbers w:val="0"/>
                    <w:spacing w:before="0" w:beforeAutospacing="0" w:after="0" w:afterAutospacing="0"/>
                    <w:ind w:left="0" w:right="0"/>
                    <w:rPr>
                      <w:rFonts w:hint="default"/>
                      <w:sz w:val="21"/>
                      <w:szCs w:val="21"/>
                    </w:rPr>
                  </w:pPr>
                  <w:r>
                    <w:rPr>
                      <w:rFonts w:hint="default"/>
                      <w:sz w:val="21"/>
                      <w:szCs w:val="21"/>
                    </w:rPr>
                    <w:t>1000</w:t>
                  </w:r>
                </w:p>
              </w:tc>
              <w:tc>
                <w:tcPr>
                  <w:tcW w:w="1280"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1.08</w:t>
                  </w:r>
                </w:p>
              </w:tc>
              <w:tc>
                <w:tcPr>
                  <w:tcW w:w="2005" w:type="pct"/>
                  <w:shd w:val="clear" w:color="auto" w:fill="auto"/>
                  <w:noWrap/>
                  <w:vAlign w:val="bottom"/>
                </w:tcPr>
                <w:p>
                  <w:pPr>
                    <w:pStyle w:val="52"/>
                    <w:keepNext w:val="0"/>
                    <w:keepLines w:val="0"/>
                    <w:suppressLineNumbers w:val="0"/>
                    <w:spacing w:before="0" w:beforeAutospacing="0" w:after="0" w:afterAutospacing="0"/>
                    <w:ind w:left="0" w:right="0"/>
                    <w:rPr>
                      <w:rFonts w:hint="default"/>
                      <w:sz w:val="21"/>
                      <w:szCs w:val="21"/>
                    </w:rPr>
                  </w:pPr>
                  <w:r>
                    <w:rPr>
                      <w:rFonts w:hint="eastAsia"/>
                      <w:sz w:val="21"/>
                      <w:szCs w:val="21"/>
                    </w:rPr>
                    <w:t>12.912</w:t>
                  </w:r>
                </w:p>
              </w:tc>
            </w:tr>
          </w:tbl>
          <w:p>
            <w:pPr>
              <w:keepNext w:val="0"/>
              <w:keepLines w:val="0"/>
              <w:widowControl/>
              <w:suppressLineNumbers w:val="0"/>
              <w:adjustRightInd/>
              <w:snapToGrid/>
              <w:spacing w:before="0" w:beforeAutospacing="0" w:after="200" w:afterAutospacing="0" w:line="276" w:lineRule="auto"/>
              <w:ind w:left="0" w:right="0" w:firstLine="0" w:firstLineChars="0"/>
              <w:jc w:val="center"/>
              <w:rPr>
                <w:rFonts w:hint="default"/>
                <w:sz w:val="21"/>
                <w:szCs w:val="21"/>
              </w:rPr>
            </w:pPr>
          </w:p>
          <w:p>
            <w:pPr>
              <w:pStyle w:val="49"/>
              <w:keepNext w:val="0"/>
              <w:keepLines w:val="0"/>
              <w:widowControl/>
              <w:suppressLineNumbers w:val="0"/>
              <w:spacing w:before="0" w:beforeAutospacing="0" w:after="0" w:afterAutospacing="0"/>
              <w:ind w:left="0" w:right="0"/>
              <w:rPr>
                <w:rFonts w:hint="default"/>
                <w:sz w:val="21"/>
                <w:szCs w:val="21"/>
              </w:rPr>
            </w:pPr>
            <w:r>
              <w:rPr>
                <w:rFonts w:hint="eastAsia"/>
                <w:sz w:val="21"/>
                <w:szCs w:val="21"/>
              </w:rPr>
              <w:t>表4</w:t>
            </w:r>
            <w:r>
              <w:rPr>
                <w:rFonts w:hint="eastAsia"/>
                <w:sz w:val="21"/>
                <w:szCs w:val="21"/>
                <w:lang w:val="en-US" w:eastAsia="zh-CN"/>
              </w:rPr>
              <w:t xml:space="preserve">-2.7 </w:t>
            </w:r>
            <w:r>
              <w:rPr>
                <w:rFonts w:hint="eastAsia"/>
                <w:sz w:val="21"/>
                <w:szCs w:val="21"/>
              </w:rPr>
              <w:t xml:space="preserve"> </w:t>
            </w:r>
            <w:r>
              <w:rPr>
                <w:rFonts w:hint="default"/>
                <w:sz w:val="21"/>
                <w:szCs w:val="21"/>
              </w:rPr>
              <w:t>项目大气污染物最大地面浓度预测</w:t>
            </w:r>
          </w:p>
          <w:tbl>
            <w:tblPr>
              <w:tblStyle w:val="25"/>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2"/>
              <w:gridCol w:w="803"/>
              <w:gridCol w:w="1021"/>
              <w:gridCol w:w="1346"/>
              <w:gridCol w:w="1311"/>
              <w:gridCol w:w="892"/>
              <w:gridCol w:w="1198"/>
              <w:gridCol w:w="8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5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污染源</w:t>
                  </w:r>
                </w:p>
              </w:tc>
              <w:tc>
                <w:tcPr>
                  <w:tcW w:w="472"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类型</w:t>
                  </w:r>
                </w:p>
              </w:tc>
              <w:tc>
                <w:tcPr>
                  <w:tcW w:w="1391" w:type="pct"/>
                  <w:gridSpan w:val="2"/>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标准</w:t>
                  </w:r>
                  <w:r>
                    <w:rPr>
                      <w:rFonts w:hint="eastAsia"/>
                      <w:sz w:val="21"/>
                      <w:szCs w:val="21"/>
                    </w:rPr>
                    <w:t>值</w:t>
                  </w:r>
                </w:p>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（μg/</w:t>
                  </w:r>
                  <w:r>
                    <w:rPr>
                      <w:rFonts w:hint="eastAsia"/>
                      <w:sz w:val="21"/>
                      <w:szCs w:val="21"/>
                    </w:rPr>
                    <w:t>m³</w:t>
                  </w:r>
                  <w:r>
                    <w:rPr>
                      <w:rFonts w:hint="default"/>
                      <w:sz w:val="21"/>
                      <w:szCs w:val="21"/>
                    </w:rPr>
                    <w:t>）</w:t>
                  </w:r>
                </w:p>
              </w:tc>
              <w:tc>
                <w:tcPr>
                  <w:tcW w:w="77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最大落地浓度（μg/</w:t>
                  </w:r>
                  <w:r>
                    <w:rPr>
                      <w:rFonts w:hint="eastAsia"/>
                      <w:sz w:val="21"/>
                      <w:szCs w:val="21"/>
                    </w:rPr>
                    <w:t>m³</w:t>
                  </w:r>
                  <w:r>
                    <w:rPr>
                      <w:rFonts w:hint="default"/>
                      <w:sz w:val="21"/>
                      <w:szCs w:val="21"/>
                    </w:rPr>
                    <w:t>）</w:t>
                  </w:r>
                </w:p>
              </w:tc>
              <w:tc>
                <w:tcPr>
                  <w:tcW w:w="52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出现距离</w:t>
                  </w:r>
                </w:p>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（m）</w:t>
                  </w:r>
                </w:p>
              </w:tc>
              <w:tc>
                <w:tcPr>
                  <w:tcW w:w="70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Pmax</w:t>
                  </w:r>
                </w:p>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w:t>
                  </w:r>
                </w:p>
              </w:tc>
              <w:tc>
                <w:tcPr>
                  <w:tcW w:w="48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D10%</w:t>
                  </w:r>
                </w:p>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5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焊接烟气、喷砂废气</w:t>
                  </w:r>
                  <w:r>
                    <w:rPr>
                      <w:rFonts w:hint="eastAsia"/>
                      <w:sz w:val="21"/>
                      <w:szCs w:val="21"/>
                      <w:lang w:eastAsia="zh-CN"/>
                    </w:rPr>
                    <w:t>、</w:t>
                  </w:r>
                  <w:r>
                    <w:rPr>
                      <w:rFonts w:hint="eastAsia"/>
                      <w:sz w:val="21"/>
                      <w:szCs w:val="21"/>
                    </w:rPr>
                    <w:t>切割废气</w:t>
                  </w:r>
                </w:p>
              </w:tc>
              <w:tc>
                <w:tcPr>
                  <w:tcW w:w="472"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面源</w:t>
                  </w:r>
                </w:p>
              </w:tc>
              <w:tc>
                <w:tcPr>
                  <w:tcW w:w="60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TSP</w:t>
                  </w:r>
                </w:p>
              </w:tc>
              <w:tc>
                <w:tcPr>
                  <w:tcW w:w="791"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200（年平均）</w:t>
                  </w:r>
                </w:p>
              </w:tc>
              <w:tc>
                <w:tcPr>
                  <w:tcW w:w="77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17.898</w:t>
                  </w:r>
                </w:p>
              </w:tc>
              <w:tc>
                <w:tcPr>
                  <w:tcW w:w="52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147</w:t>
                  </w:r>
                </w:p>
              </w:tc>
              <w:tc>
                <w:tcPr>
                  <w:tcW w:w="70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1.99</w:t>
                  </w:r>
                </w:p>
              </w:tc>
              <w:tc>
                <w:tcPr>
                  <w:tcW w:w="48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5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喷漆废气</w:t>
                  </w:r>
                </w:p>
              </w:tc>
              <w:tc>
                <w:tcPr>
                  <w:tcW w:w="472"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面源</w:t>
                  </w:r>
                </w:p>
              </w:tc>
              <w:tc>
                <w:tcPr>
                  <w:tcW w:w="60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TVOC</w:t>
                  </w:r>
                </w:p>
              </w:tc>
              <w:tc>
                <w:tcPr>
                  <w:tcW w:w="791"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600（8h平均）</w:t>
                  </w:r>
                </w:p>
              </w:tc>
              <w:tc>
                <w:tcPr>
                  <w:tcW w:w="77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4.102376</w:t>
                  </w:r>
                </w:p>
              </w:tc>
              <w:tc>
                <w:tcPr>
                  <w:tcW w:w="52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147</w:t>
                  </w:r>
                </w:p>
              </w:tc>
              <w:tc>
                <w:tcPr>
                  <w:tcW w:w="704" w:type="pct"/>
                  <w:vAlign w:val="center"/>
                </w:tcPr>
                <w:p>
                  <w:pPr>
                    <w:pStyle w:val="32"/>
                    <w:keepNext w:val="0"/>
                    <w:keepLines w:val="0"/>
                    <w:widowControl/>
                    <w:suppressLineNumbers w:val="0"/>
                    <w:spacing w:before="0" w:beforeAutospacing="0" w:afterAutospacing="0"/>
                    <w:ind w:left="0" w:right="0"/>
                    <w:rPr>
                      <w:rFonts w:hint="default" w:eastAsia="宋体"/>
                      <w:sz w:val="21"/>
                      <w:szCs w:val="21"/>
                      <w:lang w:val="en-US" w:eastAsia="zh-CN"/>
                    </w:rPr>
                  </w:pPr>
                  <w:r>
                    <w:rPr>
                      <w:rFonts w:hint="eastAsia"/>
                      <w:sz w:val="21"/>
                      <w:szCs w:val="21"/>
                      <w:lang w:val="en-US" w:eastAsia="zh-CN"/>
                    </w:rPr>
                    <w:t>0.34</w:t>
                  </w:r>
                </w:p>
              </w:tc>
              <w:tc>
                <w:tcPr>
                  <w:tcW w:w="48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5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喷漆废气</w:t>
                  </w:r>
                </w:p>
              </w:tc>
              <w:tc>
                <w:tcPr>
                  <w:tcW w:w="472"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点源</w:t>
                  </w:r>
                </w:p>
              </w:tc>
              <w:tc>
                <w:tcPr>
                  <w:tcW w:w="60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TVOC</w:t>
                  </w:r>
                </w:p>
              </w:tc>
              <w:tc>
                <w:tcPr>
                  <w:tcW w:w="791"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600（8h平均）</w:t>
                  </w:r>
                </w:p>
              </w:tc>
              <w:tc>
                <w:tcPr>
                  <w:tcW w:w="770"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21.885</w:t>
                  </w:r>
                </w:p>
              </w:tc>
              <w:tc>
                <w:tcPr>
                  <w:tcW w:w="52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41</w:t>
                  </w:r>
                </w:p>
              </w:tc>
              <w:tc>
                <w:tcPr>
                  <w:tcW w:w="704"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eastAsia"/>
                      <w:sz w:val="21"/>
                      <w:szCs w:val="21"/>
                    </w:rPr>
                    <w:t>1.82</w:t>
                  </w:r>
                </w:p>
              </w:tc>
              <w:tc>
                <w:tcPr>
                  <w:tcW w:w="483" w:type="pct"/>
                  <w:vAlign w:val="center"/>
                </w:tcPr>
                <w:p>
                  <w:pPr>
                    <w:pStyle w:val="32"/>
                    <w:keepNext w:val="0"/>
                    <w:keepLines w:val="0"/>
                    <w:widowControl/>
                    <w:suppressLineNumbers w:val="0"/>
                    <w:spacing w:before="0" w:beforeAutospacing="0" w:afterAutospacing="0"/>
                    <w:ind w:left="0" w:right="0"/>
                    <w:rPr>
                      <w:rFonts w:hint="default"/>
                      <w:sz w:val="21"/>
                      <w:szCs w:val="21"/>
                    </w:rPr>
                  </w:pPr>
                  <w:r>
                    <w:rPr>
                      <w:rFonts w:hint="default"/>
                      <w:sz w:val="21"/>
                      <w:szCs w:val="21"/>
                    </w:rPr>
                    <w:t>/</w:t>
                  </w:r>
                </w:p>
              </w:tc>
            </w:tr>
          </w:tbl>
          <w:p>
            <w:pPr>
              <w:keepNext w:val="0"/>
              <w:keepLines w:val="0"/>
              <w:widowControl w:val="0"/>
              <w:suppressLineNumbers w:val="0"/>
              <w:adjustRightInd/>
              <w:snapToGrid/>
              <w:spacing w:before="0" w:beforeAutospacing="0" w:after="0" w:afterAutospacing="0"/>
              <w:ind w:left="0" w:right="0" w:firstLine="480"/>
              <w:jc w:val="both"/>
              <w:rPr>
                <w:rFonts w:hint="default" w:cs="Times New Roman"/>
                <w:bCs/>
                <w:kern w:val="2"/>
                <w:sz w:val="21"/>
                <w:szCs w:val="21"/>
              </w:rPr>
            </w:pPr>
            <w:r>
              <w:rPr>
                <w:rFonts w:hint="default" w:cs="Times New Roman"/>
                <w:bCs/>
                <w:kern w:val="2"/>
                <w:sz w:val="21"/>
                <w:szCs w:val="21"/>
              </w:rPr>
              <w:t>经过估算模式计算，</w:t>
            </w:r>
            <w:r>
              <w:rPr>
                <w:rFonts w:hint="eastAsia" w:cs="Times New Roman"/>
                <w:bCs/>
                <w:kern w:val="2"/>
                <w:sz w:val="21"/>
                <w:szCs w:val="21"/>
              </w:rPr>
              <w:t>有</w:t>
            </w:r>
            <w:r>
              <w:rPr>
                <w:rFonts w:hint="default" w:cs="Times New Roman"/>
                <w:bCs/>
                <w:kern w:val="2"/>
                <w:sz w:val="21"/>
                <w:szCs w:val="21"/>
              </w:rPr>
              <w:t>组织排放的</w:t>
            </w:r>
            <w:r>
              <w:rPr>
                <w:rFonts w:hint="eastAsia" w:cs="Times New Roman"/>
                <w:bCs/>
                <w:kern w:val="2"/>
                <w:sz w:val="21"/>
                <w:szCs w:val="21"/>
              </w:rPr>
              <w:t>VOCs</w:t>
            </w:r>
            <w:r>
              <w:rPr>
                <w:rFonts w:hint="default" w:cs="Times New Roman"/>
                <w:bCs/>
                <w:kern w:val="2"/>
                <w:sz w:val="21"/>
                <w:szCs w:val="21"/>
              </w:rPr>
              <w:t>的最大落地浓度为</w:t>
            </w:r>
            <w:r>
              <w:rPr>
                <w:rFonts w:hint="eastAsia"/>
                <w:sz w:val="21"/>
                <w:szCs w:val="21"/>
              </w:rPr>
              <w:t>21.885</w:t>
            </w:r>
            <w:r>
              <w:rPr>
                <w:rFonts w:hint="eastAsia" w:cs="Times New Roman"/>
                <w:bCs/>
                <w:kern w:val="2"/>
                <w:sz w:val="21"/>
                <w:szCs w:val="21"/>
              </w:rPr>
              <w:t>u</w:t>
            </w:r>
            <w:r>
              <w:rPr>
                <w:rFonts w:hint="default" w:cs="Times New Roman"/>
                <w:bCs/>
                <w:kern w:val="2"/>
                <w:sz w:val="21"/>
                <w:szCs w:val="21"/>
              </w:rPr>
              <w:t>g/m³，占标率</w:t>
            </w:r>
            <w:r>
              <w:rPr>
                <w:rFonts w:hint="eastAsia"/>
                <w:sz w:val="21"/>
                <w:szCs w:val="21"/>
              </w:rPr>
              <w:t>1.82</w:t>
            </w:r>
            <w:r>
              <w:rPr>
                <w:rFonts w:hint="default" w:cs="Times New Roman"/>
                <w:bCs/>
                <w:kern w:val="2"/>
                <w:sz w:val="21"/>
                <w:szCs w:val="21"/>
              </w:rPr>
              <w:t>%</w:t>
            </w:r>
            <w:r>
              <w:rPr>
                <w:rFonts w:hint="eastAsia" w:cs="Times New Roman"/>
                <w:bCs/>
                <w:kern w:val="2"/>
                <w:sz w:val="21"/>
                <w:szCs w:val="21"/>
              </w:rPr>
              <w:t>。</w:t>
            </w:r>
            <w:r>
              <w:rPr>
                <w:rFonts w:hint="default" w:cs="Times New Roman"/>
                <w:bCs/>
                <w:kern w:val="2"/>
                <w:sz w:val="21"/>
                <w:szCs w:val="21"/>
              </w:rPr>
              <w:t>无组织排放的废气中</w:t>
            </w:r>
            <w:r>
              <w:rPr>
                <w:rFonts w:hint="eastAsia" w:cs="Times New Roman"/>
                <w:bCs/>
                <w:kern w:val="2"/>
                <w:sz w:val="21"/>
                <w:szCs w:val="21"/>
              </w:rPr>
              <w:t>颗粒物</w:t>
            </w:r>
            <w:r>
              <w:rPr>
                <w:rFonts w:hint="default" w:cs="Times New Roman"/>
                <w:bCs/>
                <w:kern w:val="2"/>
                <w:sz w:val="21"/>
                <w:szCs w:val="21"/>
              </w:rPr>
              <w:t>的最大落地浓度为</w:t>
            </w:r>
            <w:r>
              <w:rPr>
                <w:rFonts w:hint="eastAsia"/>
                <w:sz w:val="21"/>
                <w:szCs w:val="21"/>
              </w:rPr>
              <w:t>17.898</w:t>
            </w:r>
            <w:r>
              <w:rPr>
                <w:rFonts w:hint="eastAsia" w:cs="Times New Roman"/>
                <w:bCs/>
                <w:kern w:val="2"/>
                <w:sz w:val="21"/>
                <w:szCs w:val="21"/>
              </w:rPr>
              <w:t>u</w:t>
            </w:r>
            <w:r>
              <w:rPr>
                <w:rFonts w:hint="default" w:cs="Times New Roman"/>
                <w:bCs/>
                <w:kern w:val="2"/>
                <w:sz w:val="21"/>
                <w:szCs w:val="21"/>
              </w:rPr>
              <w:t>g/m³，占标率</w:t>
            </w:r>
            <w:r>
              <w:rPr>
                <w:rFonts w:hint="eastAsia"/>
                <w:sz w:val="21"/>
                <w:szCs w:val="21"/>
              </w:rPr>
              <w:t>1.99</w:t>
            </w:r>
            <w:r>
              <w:rPr>
                <w:rFonts w:hint="default" w:cs="Times New Roman"/>
                <w:bCs/>
                <w:kern w:val="2"/>
                <w:sz w:val="21"/>
                <w:szCs w:val="21"/>
              </w:rPr>
              <w:t>%</w:t>
            </w:r>
            <w:r>
              <w:rPr>
                <w:rFonts w:hint="eastAsia" w:cs="Times New Roman"/>
                <w:bCs/>
                <w:kern w:val="2"/>
                <w:sz w:val="21"/>
                <w:szCs w:val="21"/>
              </w:rPr>
              <w:t>；VOCs</w:t>
            </w:r>
            <w:r>
              <w:rPr>
                <w:rFonts w:hint="default" w:cs="Times New Roman"/>
                <w:bCs/>
                <w:kern w:val="2"/>
                <w:sz w:val="21"/>
                <w:szCs w:val="21"/>
              </w:rPr>
              <w:t>的最大落地浓度为</w:t>
            </w:r>
            <w:r>
              <w:rPr>
                <w:rFonts w:hint="eastAsia"/>
                <w:sz w:val="21"/>
                <w:szCs w:val="21"/>
              </w:rPr>
              <w:t>4.102376</w:t>
            </w:r>
            <w:r>
              <w:rPr>
                <w:rFonts w:hint="eastAsia" w:cs="Times New Roman"/>
                <w:bCs/>
                <w:kern w:val="2"/>
                <w:sz w:val="21"/>
                <w:szCs w:val="21"/>
              </w:rPr>
              <w:t>u</w:t>
            </w:r>
            <w:r>
              <w:rPr>
                <w:rFonts w:hint="default" w:cs="Times New Roman"/>
                <w:bCs/>
                <w:kern w:val="2"/>
                <w:sz w:val="21"/>
                <w:szCs w:val="21"/>
              </w:rPr>
              <w:t>g/m³，占标率</w:t>
            </w:r>
            <w:r>
              <w:rPr>
                <w:rFonts w:hint="eastAsia"/>
                <w:sz w:val="21"/>
                <w:szCs w:val="21"/>
                <w:lang w:val="en-US" w:eastAsia="zh-CN"/>
              </w:rPr>
              <w:t>0.34</w:t>
            </w:r>
            <w:r>
              <w:rPr>
                <w:rFonts w:hint="default" w:cs="Times New Roman"/>
                <w:bCs/>
                <w:kern w:val="2"/>
                <w:sz w:val="21"/>
                <w:szCs w:val="21"/>
              </w:rPr>
              <w:t>%</w:t>
            </w:r>
            <w:r>
              <w:rPr>
                <w:rFonts w:hint="eastAsia" w:cs="Times New Roman"/>
                <w:bCs/>
                <w:kern w:val="2"/>
                <w:sz w:val="21"/>
                <w:szCs w:val="21"/>
              </w:rPr>
              <w:t>。</w:t>
            </w:r>
            <w:r>
              <w:rPr>
                <w:rFonts w:hint="default" w:cs="Times New Roman"/>
                <w:bCs/>
                <w:kern w:val="2"/>
                <w:sz w:val="21"/>
                <w:szCs w:val="21"/>
              </w:rPr>
              <w:t>根据《环境影响评价技术导则大气环境（HJ2.2-2018）》</w:t>
            </w:r>
            <w:r>
              <w:rPr>
                <w:rFonts w:hint="eastAsia" w:cs="Times New Roman"/>
                <w:bCs/>
                <w:kern w:val="2"/>
                <w:sz w:val="21"/>
                <w:szCs w:val="21"/>
              </w:rPr>
              <w:t>中的表2</w:t>
            </w:r>
            <w:r>
              <w:rPr>
                <w:rFonts w:hint="default" w:cs="Times New Roman"/>
                <w:bCs/>
                <w:kern w:val="2"/>
                <w:sz w:val="21"/>
                <w:szCs w:val="21"/>
              </w:rPr>
              <w:t>，</w:t>
            </w:r>
            <w:r>
              <w:rPr>
                <w:rFonts w:hint="eastAsia" w:cs="Times New Roman"/>
                <w:bCs/>
                <w:kern w:val="2"/>
                <w:sz w:val="21"/>
                <w:szCs w:val="21"/>
              </w:rPr>
              <w:t>本项目为</w:t>
            </w:r>
            <w:r>
              <w:rPr>
                <w:rFonts w:hint="eastAsia" w:cs="Times New Roman"/>
                <w:bCs/>
                <w:kern w:val="2"/>
                <w:sz w:val="21"/>
                <w:szCs w:val="21"/>
                <w:lang w:eastAsia="zh-CN"/>
              </w:rPr>
              <w:t>二</w:t>
            </w:r>
            <w:r>
              <w:rPr>
                <w:rFonts w:hint="eastAsia" w:cs="Times New Roman"/>
                <w:bCs/>
                <w:kern w:val="2"/>
                <w:sz w:val="21"/>
                <w:szCs w:val="21"/>
              </w:rPr>
              <w:t>级评价。</w:t>
            </w:r>
          </w:p>
          <w:p>
            <w:pPr>
              <w:keepNext w:val="0"/>
              <w:keepLines w:val="0"/>
              <w:widowControl w:val="0"/>
              <w:suppressLineNumbers w:val="0"/>
              <w:spacing w:before="0" w:beforeAutospacing="0" w:after="0" w:afterAutospacing="0"/>
              <w:ind w:left="0" w:right="0" w:firstLine="480"/>
              <w:jc w:val="both"/>
              <w:rPr>
                <w:rFonts w:hint="default" w:cs="Times New Roman"/>
                <w:bCs/>
                <w:kern w:val="2"/>
                <w:sz w:val="21"/>
                <w:szCs w:val="21"/>
              </w:rPr>
            </w:pPr>
            <w:r>
              <w:rPr>
                <w:rFonts w:hint="default" w:cs="Times New Roman"/>
                <w:bCs/>
                <w:kern w:val="2"/>
                <w:sz w:val="21"/>
                <w:szCs w:val="21"/>
              </w:rPr>
              <w:t>大气评价等级判别表见下表。</w:t>
            </w:r>
          </w:p>
          <w:p>
            <w:pPr>
              <w:pStyle w:val="49"/>
              <w:keepNext w:val="0"/>
              <w:keepLines w:val="0"/>
              <w:widowControl/>
              <w:suppressLineNumbers w:val="0"/>
              <w:spacing w:before="0" w:beforeAutospacing="0" w:after="0" w:afterAutospacing="0"/>
              <w:ind w:left="0" w:right="0"/>
              <w:rPr>
                <w:rFonts w:hint="default"/>
                <w:sz w:val="21"/>
                <w:szCs w:val="21"/>
              </w:rPr>
            </w:pPr>
            <w:r>
              <w:rPr>
                <w:rFonts w:hint="eastAsia"/>
                <w:sz w:val="21"/>
                <w:szCs w:val="21"/>
              </w:rPr>
              <w:t>表4</w:t>
            </w:r>
            <w:r>
              <w:rPr>
                <w:rFonts w:hint="eastAsia"/>
                <w:sz w:val="21"/>
                <w:szCs w:val="21"/>
                <w:lang w:val="en-US" w:eastAsia="zh-CN"/>
              </w:rPr>
              <w:t>-2.8</w:t>
            </w:r>
            <w:r>
              <w:rPr>
                <w:rFonts w:hint="eastAsia"/>
                <w:sz w:val="21"/>
                <w:szCs w:val="21"/>
              </w:rPr>
              <w:t xml:space="preserve">  </w:t>
            </w:r>
            <w:r>
              <w:rPr>
                <w:rFonts w:hint="default"/>
                <w:sz w:val="21"/>
                <w:szCs w:val="21"/>
              </w:rPr>
              <w:t>评价等级</w:t>
            </w:r>
            <w:r>
              <w:rPr>
                <w:rFonts w:hint="eastAsia"/>
                <w:sz w:val="21"/>
                <w:szCs w:val="21"/>
              </w:rPr>
              <w:t>判别</w:t>
            </w:r>
            <w:r>
              <w:rPr>
                <w:rFonts w:hint="default"/>
                <w:sz w:val="21"/>
                <w:szCs w:val="21"/>
              </w:rPr>
              <w:t>表</w:t>
            </w:r>
          </w:p>
          <w:tbl>
            <w:tblPr>
              <w:tblStyle w:val="5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19"/>
              <w:gridCol w:w="42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7"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评价工作等级</w:t>
                  </w:r>
                </w:p>
              </w:tc>
              <w:tc>
                <w:tcPr>
                  <w:tcW w:w="2522"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评价工作分级判据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7"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一级评价</w:t>
                  </w:r>
                </w:p>
              </w:tc>
              <w:tc>
                <w:tcPr>
                  <w:tcW w:w="2522"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Pmax≥10%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7"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二级评价</w:t>
                  </w:r>
                </w:p>
              </w:tc>
              <w:tc>
                <w:tcPr>
                  <w:tcW w:w="2522"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1%≤Pmax＜10%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7"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三级评价</w:t>
                  </w:r>
                </w:p>
              </w:tc>
              <w:tc>
                <w:tcPr>
                  <w:tcW w:w="2522" w:type="pct"/>
                </w:tcPr>
                <w:p>
                  <w:pPr>
                    <w:pStyle w:val="32"/>
                    <w:keepNext w:val="0"/>
                    <w:keepLines w:val="0"/>
                    <w:widowControl w:val="0"/>
                    <w:suppressLineNumbers w:val="0"/>
                    <w:spacing w:before="0" w:beforeAutospacing="0" w:afterAutospacing="0"/>
                    <w:ind w:left="0" w:right="0"/>
                    <w:rPr>
                      <w:rFonts w:hint="default" w:ascii="Calibri" w:hAnsi="Calibri" w:cs="Times New Roman"/>
                      <w:sz w:val="21"/>
                      <w:szCs w:val="21"/>
                    </w:rPr>
                  </w:pPr>
                  <w:r>
                    <w:rPr>
                      <w:rFonts w:hint="default" w:ascii="Calibri" w:hAnsi="Calibri" w:cs="Times New Roman"/>
                      <w:sz w:val="21"/>
                      <w:szCs w:val="21"/>
                    </w:rPr>
                    <w:t>Pmax＜1%</w:t>
                  </w:r>
                </w:p>
              </w:tc>
            </w:tr>
          </w:tbl>
          <w:p>
            <w:pPr>
              <w:keepNext w:val="0"/>
              <w:keepLines w:val="0"/>
              <w:widowControl w:val="0"/>
              <w:suppressLineNumbers w:val="0"/>
              <w:spacing w:before="0" w:beforeAutospacing="0" w:after="0" w:afterAutospacing="0"/>
              <w:ind w:left="0" w:right="0" w:firstLine="480"/>
              <w:jc w:val="left"/>
              <w:rPr>
                <w:rFonts w:hint="default" w:cs="Times New Roman"/>
                <w:bCs/>
                <w:kern w:val="2"/>
                <w:sz w:val="21"/>
                <w:szCs w:val="21"/>
              </w:rPr>
            </w:pPr>
            <w:r>
              <w:rPr>
                <w:rFonts w:hint="default" w:cs="Times New Roman"/>
                <w:bCs/>
                <w:kern w:val="2"/>
                <w:sz w:val="21"/>
                <w:szCs w:val="21"/>
              </w:rPr>
              <w:t>由上表可知，最大占标率Pmax：</w:t>
            </w:r>
            <w:r>
              <w:rPr>
                <w:rFonts w:hint="eastAsia"/>
                <w:sz w:val="21"/>
                <w:szCs w:val="21"/>
              </w:rPr>
              <w:t>1.99</w:t>
            </w:r>
            <w:r>
              <w:rPr>
                <w:rFonts w:hint="default" w:cs="Times New Roman"/>
                <w:bCs/>
                <w:kern w:val="2"/>
                <w:sz w:val="21"/>
                <w:szCs w:val="21"/>
              </w:rPr>
              <w:t>%，评价等级：</w:t>
            </w:r>
            <w:r>
              <w:rPr>
                <w:rFonts w:hint="eastAsia" w:cs="Times New Roman"/>
                <w:bCs/>
                <w:kern w:val="2"/>
                <w:sz w:val="21"/>
                <w:szCs w:val="21"/>
                <w:lang w:eastAsia="zh-CN"/>
              </w:rPr>
              <w:t>二</w:t>
            </w:r>
            <w:r>
              <w:rPr>
                <w:rFonts w:hint="eastAsia" w:cs="Times New Roman"/>
                <w:bCs/>
                <w:kern w:val="2"/>
                <w:sz w:val="21"/>
                <w:szCs w:val="21"/>
              </w:rPr>
              <w:t>级</w:t>
            </w:r>
            <w:r>
              <w:rPr>
                <w:rFonts w:hint="default" w:cs="Times New Roman"/>
                <w:bCs/>
                <w:kern w:val="2"/>
                <w:sz w:val="21"/>
                <w:szCs w:val="21"/>
              </w:rPr>
              <w:t>。</w:t>
            </w:r>
          </w:p>
          <w:p>
            <w:pPr>
              <w:keepNext w:val="0"/>
              <w:keepLines w:val="0"/>
              <w:widowControl w:val="0"/>
              <w:suppressLineNumbers w:val="0"/>
              <w:spacing w:before="0" w:beforeAutospacing="0" w:after="0" w:afterAutospacing="0"/>
              <w:ind w:left="0" w:right="0" w:firstLine="480"/>
              <w:jc w:val="left"/>
              <w:rPr>
                <w:rFonts w:hint="default" w:cs="Times New Roman"/>
                <w:bCs/>
                <w:kern w:val="2"/>
                <w:sz w:val="21"/>
                <w:szCs w:val="21"/>
              </w:rPr>
            </w:pPr>
            <w:r>
              <w:rPr>
                <w:rFonts w:hint="eastAsia" w:cs="Times New Roman"/>
                <w:bCs/>
                <w:kern w:val="2"/>
                <w:sz w:val="21"/>
                <w:szCs w:val="21"/>
              </w:rPr>
              <w:t>评价范围： 二级评价项目大气环境影响评价范围边长取5 km。</w:t>
            </w:r>
          </w:p>
          <w:p>
            <w:pPr>
              <w:keepNext w:val="0"/>
              <w:keepLines w:val="0"/>
              <w:widowControl/>
              <w:suppressLineNumbers w:val="0"/>
              <w:bidi w:val="0"/>
              <w:spacing w:before="0" w:beforeAutospacing="0" w:after="0" w:afterAutospacing="0"/>
              <w:ind w:left="0" w:right="0"/>
              <w:rPr>
                <w:rFonts w:hint="default"/>
                <w:sz w:val="21"/>
                <w:szCs w:val="20"/>
              </w:rPr>
            </w:pPr>
            <w:r>
              <w:rPr>
                <w:rFonts w:hint="eastAsia"/>
                <w:sz w:val="21"/>
                <w:szCs w:val="20"/>
              </w:rPr>
              <w:t>二级评价项目不进行进一步预测与评价，只对污染物排放量进行核算。</w:t>
            </w:r>
          </w:p>
          <w:p>
            <w:pPr>
              <w:keepNext w:val="0"/>
              <w:keepLines w:val="0"/>
              <w:widowControl w:val="0"/>
              <w:suppressLineNumbers w:val="0"/>
              <w:spacing w:before="0" w:beforeAutospacing="0" w:after="0" w:afterAutospacing="0"/>
              <w:ind w:left="0" w:right="0" w:firstLine="480"/>
              <w:jc w:val="both"/>
              <w:rPr>
                <w:rFonts w:hint="default"/>
                <w:b/>
                <w:bCs/>
                <w:sz w:val="21"/>
                <w:szCs w:val="21"/>
              </w:rPr>
            </w:pPr>
            <w:r>
              <w:rPr>
                <w:rFonts w:hint="eastAsia"/>
                <w:b/>
                <w:bCs/>
                <w:sz w:val="21"/>
                <w:szCs w:val="21"/>
              </w:rPr>
              <w:t>4</w:t>
            </w:r>
            <w:r>
              <w:rPr>
                <w:rFonts w:hint="default"/>
                <w:b/>
                <w:bCs/>
                <w:sz w:val="21"/>
                <w:szCs w:val="21"/>
              </w:rPr>
              <w:t xml:space="preserve">.2.1.2废气达标性分析 </w:t>
            </w:r>
          </w:p>
          <w:p>
            <w:pPr>
              <w:keepNext w:val="0"/>
              <w:keepLines w:val="0"/>
              <w:widowControl w:val="0"/>
              <w:suppressLineNumbers w:val="0"/>
              <w:spacing w:before="0" w:beforeAutospacing="0" w:after="0" w:afterAutospacing="0"/>
              <w:ind w:left="0" w:right="0" w:firstLine="480"/>
              <w:jc w:val="both"/>
              <w:rPr>
                <w:rFonts w:hint="default"/>
                <w:sz w:val="21"/>
                <w:szCs w:val="21"/>
                <w:u w:val="single"/>
              </w:rPr>
            </w:pPr>
            <w:r>
              <w:rPr>
                <w:rFonts w:hint="default"/>
                <w:sz w:val="21"/>
                <w:szCs w:val="21"/>
                <w:u w:val="single"/>
              </w:rPr>
              <w:t>本项目</w:t>
            </w:r>
            <w:r>
              <w:rPr>
                <w:rFonts w:hint="eastAsia"/>
                <w:sz w:val="21"/>
                <w:szCs w:val="21"/>
                <w:u w:val="single"/>
              </w:rPr>
              <w:t>对喷漆废气采用</w:t>
            </w:r>
            <w:r>
              <w:rPr>
                <w:rFonts w:hint="eastAsia" w:cs="Times New Roman"/>
                <w:sz w:val="21"/>
                <w:szCs w:val="21"/>
                <w:u w:val="single"/>
              </w:rPr>
              <w:t>封闭的</w:t>
            </w:r>
            <w:r>
              <w:rPr>
                <w:rFonts w:hint="eastAsia"/>
                <w:sz w:val="21"/>
                <w:szCs w:val="21"/>
                <w:u w:val="single"/>
              </w:rPr>
              <w:t>喷漆房+水帘柜+活性炭吸附装置+UV光解对喷漆废气进行处理</w:t>
            </w:r>
            <w:r>
              <w:rPr>
                <w:rFonts w:hint="default"/>
                <w:sz w:val="21"/>
                <w:szCs w:val="21"/>
                <w:u w:val="single"/>
              </w:rPr>
              <w:t>（处理效率</w:t>
            </w:r>
            <w:r>
              <w:rPr>
                <w:rFonts w:hint="eastAsia"/>
                <w:sz w:val="21"/>
                <w:szCs w:val="21"/>
                <w:u w:val="single"/>
              </w:rPr>
              <w:t>91.6%</w:t>
            </w:r>
            <w:r>
              <w:rPr>
                <w:rFonts w:hint="default"/>
                <w:sz w:val="21"/>
                <w:szCs w:val="21"/>
                <w:u w:val="single"/>
              </w:rPr>
              <w:t>）</w:t>
            </w:r>
            <w:r>
              <w:rPr>
                <w:rFonts w:hint="eastAsia"/>
                <w:sz w:val="21"/>
                <w:szCs w:val="21"/>
                <w:u w:val="single"/>
              </w:rPr>
              <w:t>，</w:t>
            </w:r>
            <w:r>
              <w:rPr>
                <w:rFonts w:hint="default"/>
                <w:sz w:val="21"/>
                <w:szCs w:val="21"/>
                <w:u w:val="single"/>
              </w:rPr>
              <w:t>后经 15m 高排气筒排放，配套风机风量为 10000</w:t>
            </w:r>
            <w:r>
              <w:rPr>
                <w:rFonts w:hint="eastAsia"/>
                <w:sz w:val="21"/>
                <w:szCs w:val="21"/>
                <w:u w:val="single"/>
              </w:rPr>
              <w:t>m³</w:t>
            </w:r>
            <w:r>
              <w:rPr>
                <w:rFonts w:hint="default"/>
                <w:sz w:val="21"/>
                <w:szCs w:val="21"/>
                <w:u w:val="single"/>
              </w:rPr>
              <w:t>/h，</w:t>
            </w:r>
            <w:r>
              <w:rPr>
                <w:rFonts w:hint="eastAsia" w:cs="Times New Roman"/>
                <w:bCs/>
                <w:sz w:val="21"/>
                <w:szCs w:val="21"/>
                <w:u w:val="single"/>
              </w:rPr>
              <w:t>排放速率为</w:t>
            </w:r>
            <w:r>
              <w:rPr>
                <w:rFonts w:hint="eastAsia"/>
                <w:sz w:val="21"/>
                <w:szCs w:val="21"/>
                <w:u w:val="single"/>
              </w:rPr>
              <w:t xml:space="preserve"> 0.</w:t>
            </w:r>
            <w:r>
              <w:rPr>
                <w:rFonts w:hint="default"/>
                <w:sz w:val="21"/>
                <w:szCs w:val="21"/>
                <w:u w:val="single"/>
              </w:rPr>
              <w:t>181</w:t>
            </w:r>
            <w:r>
              <w:rPr>
                <w:rFonts w:hint="eastAsia"/>
                <w:sz w:val="21"/>
                <w:szCs w:val="21"/>
                <w:u w:val="single"/>
              </w:rPr>
              <w:t>kg/h，</w:t>
            </w:r>
            <w:r>
              <w:rPr>
                <w:rFonts w:hint="default"/>
                <w:sz w:val="21"/>
                <w:szCs w:val="21"/>
                <w:u w:val="single"/>
              </w:rPr>
              <w:t>18.1</w:t>
            </w:r>
            <w:r>
              <w:rPr>
                <w:rFonts w:hint="eastAsia"/>
                <w:sz w:val="21"/>
                <w:szCs w:val="21"/>
                <w:u w:val="single"/>
              </w:rPr>
              <w:t>mg/m³，能满足</w:t>
            </w:r>
            <w:r>
              <w:rPr>
                <w:rFonts w:hint="eastAsia" w:cs="Times New Roman"/>
                <w:sz w:val="21"/>
                <w:szCs w:val="21"/>
                <w:u w:val="single"/>
              </w:rPr>
              <w:t>《表面涂装（汽车制造及维修）挥发性有机物、镍排放标准》（DB43/1356-2017）中标准限值要求。</w:t>
            </w:r>
          </w:p>
          <w:p>
            <w:pPr>
              <w:keepNext w:val="0"/>
              <w:keepLines w:val="0"/>
              <w:widowControl/>
              <w:suppressLineNumbers w:val="0"/>
              <w:spacing w:before="0" w:beforeAutospacing="0" w:after="0" w:afterAutospacing="0"/>
              <w:ind w:left="0" w:right="0"/>
              <w:rPr>
                <w:rFonts w:hint="default"/>
                <w:sz w:val="21"/>
                <w:szCs w:val="21"/>
              </w:rPr>
            </w:pPr>
            <w:r>
              <w:rPr>
                <w:rFonts w:hint="default"/>
                <w:sz w:val="21"/>
                <w:szCs w:val="21"/>
                <w:u w:val="single"/>
              </w:rPr>
              <w:t>未被捕集的</w:t>
            </w:r>
            <w:r>
              <w:rPr>
                <w:rFonts w:hint="eastAsia"/>
                <w:sz w:val="21"/>
                <w:szCs w:val="21"/>
                <w:u w:val="single"/>
              </w:rPr>
              <w:t>V</w:t>
            </w:r>
            <w:r>
              <w:rPr>
                <w:rFonts w:hint="default"/>
                <w:sz w:val="21"/>
                <w:szCs w:val="21"/>
                <w:u w:val="single"/>
              </w:rPr>
              <w:t>OCs以无组织形式排放，排放量约为 0.0384t/a</w:t>
            </w:r>
            <w:r>
              <w:rPr>
                <w:rFonts w:hint="eastAsia"/>
                <w:sz w:val="21"/>
                <w:szCs w:val="21"/>
                <w:u w:val="single"/>
              </w:rPr>
              <w:t>，</w:t>
            </w:r>
            <w:r>
              <w:rPr>
                <w:rFonts w:hint="eastAsia" w:cs="Times New Roman"/>
                <w:kern w:val="2"/>
                <w:sz w:val="21"/>
                <w:szCs w:val="21"/>
                <w:u w:val="single"/>
              </w:rPr>
              <w:t>无组织排放的V</w:t>
            </w:r>
            <w:r>
              <w:rPr>
                <w:rFonts w:hint="default" w:cs="Times New Roman"/>
                <w:kern w:val="2"/>
                <w:sz w:val="21"/>
                <w:szCs w:val="21"/>
                <w:u w:val="single"/>
              </w:rPr>
              <w:t>OCs</w:t>
            </w:r>
            <w:r>
              <w:rPr>
                <w:rFonts w:hint="eastAsia"/>
                <w:sz w:val="21"/>
                <w:szCs w:val="21"/>
                <w:u w:val="single"/>
              </w:rPr>
              <w:t>满足《表面涂装（汽车制造及维修）挥发性有机物、镍排放标准》（DB43/1356-2017）中的要求及《挥发性有机物无组织排放控制标准》（GB 37822—2019）中的要求。焊接烟气、切割废气</w:t>
            </w:r>
            <w:r>
              <w:rPr>
                <w:rFonts w:hint="eastAsia"/>
                <w:sz w:val="21"/>
                <w:szCs w:val="21"/>
                <w:u w:val="single"/>
                <w:lang w:eastAsia="zh-CN"/>
              </w:rPr>
              <w:t>采用</w:t>
            </w:r>
            <w:r>
              <w:rPr>
                <w:rFonts w:hint="eastAsia"/>
                <w:sz w:val="21"/>
                <w:szCs w:val="21"/>
                <w:u w:val="single"/>
              </w:rPr>
              <w:t>移动式烟尘净化器</w:t>
            </w:r>
            <w:r>
              <w:rPr>
                <w:rFonts w:hint="eastAsia"/>
                <w:sz w:val="21"/>
                <w:szCs w:val="21"/>
                <w:u w:val="single"/>
                <w:lang w:eastAsia="zh-CN"/>
              </w:rPr>
              <w:t>处理后排放，</w:t>
            </w:r>
            <w:r>
              <w:rPr>
                <w:rFonts w:hint="eastAsia"/>
                <w:sz w:val="21"/>
                <w:szCs w:val="21"/>
                <w:u w:val="single"/>
              </w:rPr>
              <w:t>喷砂废气</w:t>
            </w:r>
            <w:r>
              <w:rPr>
                <w:rFonts w:hint="eastAsia"/>
                <w:sz w:val="21"/>
                <w:szCs w:val="21"/>
                <w:u w:val="single"/>
                <w:lang w:eastAsia="zh-CN"/>
              </w:rPr>
              <w:t>采用</w:t>
            </w:r>
            <w:r>
              <w:rPr>
                <w:rFonts w:hint="eastAsia"/>
                <w:sz w:val="21"/>
                <w:szCs w:val="21"/>
                <w:u w:val="single"/>
              </w:rPr>
              <w:t>封闭的喷砂房+抽风管道+水浴池</w:t>
            </w:r>
            <w:r>
              <w:rPr>
                <w:rFonts w:hint="eastAsia"/>
                <w:sz w:val="21"/>
                <w:szCs w:val="21"/>
                <w:u w:val="single"/>
                <w:lang w:eastAsia="zh-CN"/>
              </w:rPr>
              <w:t>处理后排放，均为无组织排放。</w:t>
            </w:r>
            <w:r>
              <w:rPr>
                <w:rFonts w:hint="eastAsia"/>
                <w:sz w:val="21"/>
                <w:szCs w:val="21"/>
                <w:u w:val="single"/>
              </w:rPr>
              <w:t>焊接烟气、喷砂废气、切割废气</w:t>
            </w:r>
            <w:r>
              <w:rPr>
                <w:rFonts w:hint="default"/>
                <w:sz w:val="21"/>
                <w:szCs w:val="21"/>
                <w:u w:val="single"/>
              </w:rPr>
              <w:t>颗粒物无组织排放量约为2.085t/a</w:t>
            </w:r>
            <w:r>
              <w:rPr>
                <w:rFonts w:hint="eastAsia"/>
                <w:sz w:val="21"/>
                <w:szCs w:val="21"/>
                <w:u w:val="single"/>
              </w:rPr>
              <w:t>，</w:t>
            </w:r>
            <w:r>
              <w:rPr>
                <w:rFonts w:hint="default"/>
                <w:sz w:val="21"/>
                <w:szCs w:val="21"/>
                <w:u w:val="single"/>
              </w:rPr>
              <w:t>均能满足《大气污染综合排放标准》（GB16297-1996）表 2 中的无组织排放监控浓度限值</w:t>
            </w:r>
            <w:r>
              <w:rPr>
                <w:rFonts w:hint="eastAsia"/>
                <w:sz w:val="21"/>
                <w:szCs w:val="21"/>
                <w:u w:val="single"/>
              </w:rPr>
              <w:t>。</w:t>
            </w:r>
          </w:p>
          <w:p>
            <w:pPr>
              <w:keepNext w:val="0"/>
              <w:keepLines w:val="0"/>
              <w:widowControl w:val="0"/>
              <w:suppressLineNumbers w:val="0"/>
              <w:spacing w:before="0" w:beforeAutospacing="0" w:after="0" w:afterAutospacing="0"/>
              <w:ind w:left="0" w:right="0" w:firstLine="480"/>
              <w:jc w:val="both"/>
              <w:rPr>
                <w:rFonts w:hint="default"/>
                <w:b/>
                <w:bCs/>
                <w:sz w:val="21"/>
                <w:szCs w:val="20"/>
              </w:rPr>
            </w:pPr>
            <w:r>
              <w:rPr>
                <w:rFonts w:hint="eastAsia"/>
                <w:b/>
                <w:bCs/>
                <w:sz w:val="21"/>
                <w:szCs w:val="21"/>
              </w:rPr>
              <w:t>4</w:t>
            </w:r>
            <w:r>
              <w:rPr>
                <w:rFonts w:hint="default"/>
                <w:b/>
                <w:bCs/>
                <w:sz w:val="21"/>
                <w:szCs w:val="21"/>
              </w:rPr>
              <w:t>.2.1.</w:t>
            </w:r>
            <w:r>
              <w:rPr>
                <w:rFonts w:hint="default"/>
                <w:b/>
                <w:bCs/>
                <w:sz w:val="21"/>
                <w:szCs w:val="20"/>
              </w:rPr>
              <w:t xml:space="preserve">3非正常工况分析 </w:t>
            </w:r>
          </w:p>
          <w:p>
            <w:pPr>
              <w:keepNext w:val="0"/>
              <w:keepLines w:val="0"/>
              <w:widowControl w:val="0"/>
              <w:suppressLineNumbers w:val="0"/>
              <w:spacing w:before="0" w:beforeAutospacing="0" w:after="0" w:afterAutospacing="0"/>
              <w:ind w:left="0" w:right="0" w:firstLine="480"/>
              <w:jc w:val="both"/>
              <w:rPr>
                <w:rFonts w:hint="default"/>
                <w:sz w:val="21"/>
                <w:szCs w:val="20"/>
              </w:rPr>
            </w:pPr>
            <w:r>
              <w:rPr>
                <w:rFonts w:hint="default"/>
                <w:sz w:val="21"/>
                <w:szCs w:val="20"/>
              </w:rPr>
              <w:t>本项目的非正常工况主要是</w:t>
            </w:r>
            <w:r>
              <w:rPr>
                <w:rFonts w:hint="eastAsia"/>
                <w:sz w:val="21"/>
                <w:szCs w:val="20"/>
              </w:rPr>
              <w:t>喷漆废气</w:t>
            </w:r>
            <w:r>
              <w:rPr>
                <w:rFonts w:hint="default"/>
                <w:sz w:val="21"/>
                <w:szCs w:val="20"/>
              </w:rPr>
              <w:t>排放控制措施达不到应有效率，即</w:t>
            </w:r>
            <w:r>
              <w:rPr>
                <w:rFonts w:hint="eastAsia"/>
                <w:sz w:val="21"/>
                <w:szCs w:val="20"/>
              </w:rPr>
              <w:t>活性炭</w:t>
            </w:r>
            <w:r>
              <w:rPr>
                <w:rFonts w:hint="default"/>
                <w:sz w:val="21"/>
                <w:szCs w:val="20"/>
              </w:rPr>
              <w:t>失效，造成排气筒废气中废气污染物</w:t>
            </w:r>
            <w:r>
              <w:rPr>
                <w:rFonts w:hint="eastAsia"/>
                <w:sz w:val="21"/>
                <w:szCs w:val="20"/>
              </w:rPr>
              <w:t>非正常排放</w:t>
            </w:r>
            <w:r>
              <w:rPr>
                <w:rFonts w:hint="default"/>
                <w:sz w:val="21"/>
                <w:szCs w:val="20"/>
              </w:rPr>
              <w:t>，其排放情况如下表所示。</w:t>
            </w:r>
          </w:p>
          <w:tbl>
            <w:tblPr>
              <w:tblStyle w:val="2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1"/>
              <w:gridCol w:w="826"/>
              <w:gridCol w:w="1404"/>
              <w:gridCol w:w="872"/>
              <w:gridCol w:w="888"/>
              <w:gridCol w:w="871"/>
              <w:gridCol w:w="802"/>
              <w:gridCol w:w="816"/>
              <w:gridCol w:w="683"/>
              <w:gridCol w:w="5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2" w:type="pct"/>
                  <w:vMerge w:val="restar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污染源</w:t>
                  </w:r>
                </w:p>
              </w:tc>
              <w:tc>
                <w:tcPr>
                  <w:tcW w:w="485" w:type="pct"/>
                  <w:vMerge w:val="restar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污染</w:t>
                  </w:r>
                  <w:r>
                    <w:rPr>
                      <w:rFonts w:hint="eastAsia"/>
                    </w:rPr>
                    <w:t>物名</w:t>
                  </w:r>
                  <w:r>
                    <w:rPr>
                      <w:rFonts w:hint="default"/>
                    </w:rPr>
                    <w:t xml:space="preserve"> 称</w:t>
                  </w:r>
                </w:p>
              </w:tc>
              <w:tc>
                <w:tcPr>
                  <w:tcW w:w="824" w:type="pct"/>
                  <w:vMerge w:val="restar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 xml:space="preserve">非正常 </w:t>
                  </w:r>
                  <w:r>
                    <w:rPr>
                      <w:rFonts w:hint="eastAsia"/>
                    </w:rPr>
                    <w:t>排放原</w:t>
                  </w:r>
                  <w:r>
                    <w:rPr>
                      <w:rFonts w:hint="default"/>
                    </w:rPr>
                    <w:t xml:space="preserve"> 因</w:t>
                  </w:r>
                </w:p>
              </w:tc>
              <w:tc>
                <w:tcPr>
                  <w:tcW w:w="2015" w:type="pct"/>
                  <w:gridSpan w:val="4"/>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非正常排放状况</w:t>
                  </w:r>
                </w:p>
              </w:tc>
              <w:tc>
                <w:tcPr>
                  <w:tcW w:w="880" w:type="pct"/>
                  <w:gridSpan w:val="2"/>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执行标准</w:t>
                  </w:r>
                </w:p>
              </w:tc>
              <w:tc>
                <w:tcPr>
                  <w:tcW w:w="313"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达标</w:t>
                  </w:r>
                  <w:r>
                    <w:rPr>
                      <w:rFonts w:hint="eastAsia"/>
                    </w:rPr>
                    <w:t>情</w:t>
                  </w:r>
                  <w:r>
                    <w:rPr>
                      <w:rFonts w:hint="default"/>
                    </w:rPr>
                    <w:t>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rPr>
              <w:tc>
                <w:tcPr>
                  <w:tcW w:w="482" w:type="pct"/>
                  <w:vMerge w:val="continue"/>
                  <w:vAlign w:val="center"/>
                </w:tcPr>
                <w:p>
                  <w:pPr>
                    <w:pStyle w:val="32"/>
                    <w:keepNext w:val="0"/>
                    <w:keepLines w:val="0"/>
                    <w:widowControl/>
                    <w:suppressLineNumbers w:val="0"/>
                    <w:bidi w:val="0"/>
                    <w:spacing w:before="0" w:beforeAutospacing="0" w:afterAutospacing="0"/>
                    <w:ind w:left="0" w:right="0"/>
                    <w:rPr>
                      <w:rFonts w:hint="default"/>
                    </w:rPr>
                  </w:pPr>
                </w:p>
              </w:tc>
              <w:tc>
                <w:tcPr>
                  <w:tcW w:w="485" w:type="pct"/>
                  <w:vMerge w:val="continue"/>
                  <w:vAlign w:val="center"/>
                </w:tcPr>
                <w:p>
                  <w:pPr>
                    <w:pStyle w:val="32"/>
                    <w:keepNext w:val="0"/>
                    <w:keepLines w:val="0"/>
                    <w:widowControl/>
                    <w:suppressLineNumbers w:val="0"/>
                    <w:bidi w:val="0"/>
                    <w:spacing w:before="0" w:beforeAutospacing="0" w:afterAutospacing="0"/>
                    <w:ind w:left="0" w:right="0"/>
                    <w:rPr>
                      <w:rFonts w:hint="default"/>
                    </w:rPr>
                  </w:pPr>
                </w:p>
              </w:tc>
              <w:tc>
                <w:tcPr>
                  <w:tcW w:w="824" w:type="pct"/>
                  <w:vMerge w:val="continue"/>
                  <w:vAlign w:val="center"/>
                </w:tcPr>
                <w:p>
                  <w:pPr>
                    <w:pStyle w:val="32"/>
                    <w:keepNext w:val="0"/>
                    <w:keepLines w:val="0"/>
                    <w:widowControl/>
                    <w:suppressLineNumbers w:val="0"/>
                    <w:bidi w:val="0"/>
                    <w:spacing w:before="0" w:beforeAutospacing="0" w:afterAutospacing="0"/>
                    <w:ind w:left="0" w:right="0"/>
                    <w:rPr>
                      <w:rFonts w:hint="default"/>
                    </w:rPr>
                  </w:pPr>
                </w:p>
              </w:tc>
              <w:tc>
                <w:tcPr>
                  <w:tcW w:w="512"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浓度情况</w:t>
                  </w:r>
                  <w:r>
                    <w:rPr>
                      <w:rFonts w:hint="default"/>
                    </w:rPr>
                    <w:t xml:space="preserve"> mg/</w:t>
                  </w:r>
                  <w:r>
                    <w:rPr>
                      <w:rFonts w:hint="eastAsia"/>
                    </w:rPr>
                    <w:t>m³</w:t>
                  </w:r>
                </w:p>
              </w:tc>
              <w:tc>
                <w:tcPr>
                  <w:tcW w:w="521"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速率</w:t>
                  </w:r>
                  <w:r>
                    <w:rPr>
                      <w:rFonts w:hint="default"/>
                    </w:rPr>
                    <w:t xml:space="preserve"> kg/h</w:t>
                  </w:r>
                </w:p>
              </w:tc>
              <w:tc>
                <w:tcPr>
                  <w:tcW w:w="511"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频次及持续时</w:t>
                  </w:r>
                  <w:r>
                    <w:rPr>
                      <w:rFonts w:hint="default"/>
                    </w:rPr>
                    <w:t xml:space="preserve"> </w:t>
                  </w:r>
                  <w:r>
                    <w:rPr>
                      <w:rFonts w:hint="eastAsia"/>
                    </w:rPr>
                    <w:t>间</w:t>
                  </w:r>
                </w:p>
              </w:tc>
              <w:tc>
                <w:tcPr>
                  <w:tcW w:w="468"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排放量</w:t>
                  </w:r>
                  <w:r>
                    <w:rPr>
                      <w:rFonts w:hint="default"/>
                    </w:rPr>
                    <w:t xml:space="preserve"> kg/a</w:t>
                  </w:r>
                </w:p>
              </w:tc>
              <w:tc>
                <w:tcPr>
                  <w:tcW w:w="479"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浓度</w:t>
                  </w:r>
                  <w:r>
                    <w:rPr>
                      <w:rFonts w:hint="default"/>
                    </w:rPr>
                    <w:t>mg/</w:t>
                  </w:r>
                  <w:r>
                    <w:rPr>
                      <w:rFonts w:hint="eastAsia"/>
                    </w:rPr>
                    <w:t>m³</w:t>
                  </w:r>
                </w:p>
              </w:tc>
              <w:tc>
                <w:tcPr>
                  <w:tcW w:w="401"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速率</w:t>
                  </w:r>
                  <w:r>
                    <w:rPr>
                      <w:rFonts w:hint="default"/>
                    </w:rPr>
                    <w:t xml:space="preserve"> kg/h</w:t>
                  </w:r>
                </w:p>
              </w:tc>
              <w:tc>
                <w:tcPr>
                  <w:tcW w:w="313"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2"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喷漆废气排气筒</w:t>
                  </w:r>
                </w:p>
              </w:tc>
              <w:tc>
                <w:tcPr>
                  <w:tcW w:w="485"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V</w:t>
                  </w:r>
                  <w:r>
                    <w:rPr>
                      <w:rFonts w:hint="default"/>
                    </w:rPr>
                    <w:t>OC</w:t>
                  </w:r>
                  <w:r>
                    <w:rPr>
                      <w:rFonts w:hint="eastAsia"/>
                    </w:rPr>
                    <w:t>s</w:t>
                  </w:r>
                </w:p>
              </w:tc>
              <w:tc>
                <w:tcPr>
                  <w:tcW w:w="824"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活性炭失效，其余设施处理效率为7</w:t>
                  </w:r>
                  <w:r>
                    <w:rPr>
                      <w:rFonts w:hint="default"/>
                    </w:rPr>
                    <w:t>0%</w:t>
                  </w:r>
                </w:p>
              </w:tc>
              <w:tc>
                <w:tcPr>
                  <w:tcW w:w="512"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6</w:t>
                  </w:r>
                  <w:r>
                    <w:rPr>
                      <w:rFonts w:hint="default"/>
                    </w:rPr>
                    <w:t>4.52</w:t>
                  </w:r>
                </w:p>
              </w:tc>
              <w:tc>
                <w:tcPr>
                  <w:tcW w:w="521"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0</w:t>
                  </w:r>
                  <w:r>
                    <w:rPr>
                      <w:rFonts w:hint="default"/>
                    </w:rPr>
                    <w:t>.6452</w:t>
                  </w:r>
                </w:p>
              </w:tc>
              <w:tc>
                <w:tcPr>
                  <w:tcW w:w="511"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2</w:t>
                  </w:r>
                  <w:r>
                    <w:rPr>
                      <w:rFonts w:hint="default"/>
                    </w:rPr>
                    <w:t>次/a， 2h/次</w:t>
                  </w:r>
                </w:p>
              </w:tc>
              <w:tc>
                <w:tcPr>
                  <w:tcW w:w="468"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2</w:t>
                  </w:r>
                  <w:r>
                    <w:rPr>
                      <w:rFonts w:hint="default"/>
                    </w:rPr>
                    <w:t>.581</w:t>
                  </w:r>
                </w:p>
              </w:tc>
              <w:tc>
                <w:tcPr>
                  <w:tcW w:w="479"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8</w:t>
                  </w:r>
                  <w:r>
                    <w:rPr>
                      <w:rFonts w:hint="default"/>
                    </w:rPr>
                    <w:t>0</w:t>
                  </w:r>
                </w:p>
              </w:tc>
              <w:tc>
                <w:tcPr>
                  <w:tcW w:w="401"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w:t>
                  </w:r>
                </w:p>
              </w:tc>
              <w:tc>
                <w:tcPr>
                  <w:tcW w:w="313"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达标</w:t>
                  </w:r>
                </w:p>
              </w:tc>
            </w:tr>
          </w:tbl>
          <w:p>
            <w:pPr>
              <w:keepNext w:val="0"/>
              <w:keepLines w:val="0"/>
              <w:widowControl w:val="0"/>
              <w:suppressLineNumbers w:val="0"/>
              <w:spacing w:before="0" w:beforeAutospacing="0" w:after="0" w:afterAutospacing="0"/>
              <w:ind w:left="0" w:right="0" w:firstLine="480"/>
              <w:jc w:val="both"/>
              <w:rPr>
                <w:rFonts w:hint="default"/>
                <w:sz w:val="21"/>
                <w:szCs w:val="21"/>
              </w:rPr>
            </w:pPr>
            <w:r>
              <w:rPr>
                <w:rFonts w:hint="default"/>
                <w:sz w:val="21"/>
                <w:szCs w:val="21"/>
              </w:rPr>
              <w:t>由上表可知，非正常工况下，DA001</w:t>
            </w:r>
            <w:r>
              <w:rPr>
                <w:rFonts w:hint="eastAsia" w:cs="Times New Roman"/>
                <w:kern w:val="2"/>
                <w:sz w:val="21"/>
                <w:szCs w:val="21"/>
              </w:rPr>
              <w:t>喷漆废气排气筒</w:t>
            </w:r>
            <w:r>
              <w:rPr>
                <w:rFonts w:hint="default"/>
                <w:sz w:val="21"/>
                <w:szCs w:val="21"/>
              </w:rPr>
              <w:t>排放的</w:t>
            </w:r>
            <w:r>
              <w:rPr>
                <w:rFonts w:hint="eastAsia" w:cs="Times New Roman"/>
                <w:kern w:val="2"/>
                <w:sz w:val="21"/>
                <w:szCs w:val="21"/>
              </w:rPr>
              <w:t>V</w:t>
            </w:r>
            <w:r>
              <w:rPr>
                <w:rFonts w:hint="default" w:cs="Times New Roman"/>
                <w:kern w:val="2"/>
                <w:sz w:val="21"/>
                <w:szCs w:val="21"/>
              </w:rPr>
              <w:t>OC</w:t>
            </w:r>
            <w:r>
              <w:rPr>
                <w:rFonts w:hint="eastAsia" w:cs="Times New Roman"/>
                <w:kern w:val="2"/>
                <w:sz w:val="21"/>
                <w:szCs w:val="21"/>
              </w:rPr>
              <w:t>s</w:t>
            </w:r>
            <w:r>
              <w:rPr>
                <w:rFonts w:hint="default"/>
                <w:sz w:val="21"/>
                <w:szCs w:val="21"/>
              </w:rPr>
              <w:t>浓度达标。但污染物排放量增大。为防止生产废气非正常工况排放，企业必须加强废气处理设施的管理，定期检修，确保废气处理设施正常运行，在废气处理设备停止运行或出现故障时，产生废气的各工序也必须相应停止生产。为杜绝废气非正常排放，应采取以下措施确保废气达标排放：</w:t>
            </w:r>
          </w:p>
          <w:p>
            <w:pPr>
              <w:keepNext w:val="0"/>
              <w:keepLines w:val="0"/>
              <w:widowControl w:val="0"/>
              <w:suppressLineNumbers w:val="0"/>
              <w:spacing w:before="0" w:beforeAutospacing="0" w:after="0" w:afterAutospacing="0"/>
              <w:ind w:left="0" w:right="0" w:firstLine="480"/>
              <w:jc w:val="both"/>
              <w:rPr>
                <w:rFonts w:hint="default"/>
                <w:sz w:val="21"/>
                <w:szCs w:val="21"/>
              </w:rPr>
            </w:pPr>
            <w:r>
              <w:rPr>
                <w:rFonts w:hint="eastAsia" w:ascii="宋体" w:hAnsi="宋体" w:cs="宋体"/>
                <w:sz w:val="21"/>
                <w:szCs w:val="21"/>
              </w:rPr>
              <w:t>①</w:t>
            </w:r>
            <w:r>
              <w:rPr>
                <w:rFonts w:hint="default"/>
                <w:sz w:val="21"/>
                <w:szCs w:val="21"/>
              </w:rPr>
              <w:t xml:space="preserve">安排专人负责环保设备的日常维护和管理，每个固定时间检查、汇报情况，及时发现废气处理设备的隐患，确保废气处理系统正常运行； </w:t>
            </w:r>
          </w:p>
          <w:p>
            <w:pPr>
              <w:keepNext w:val="0"/>
              <w:keepLines w:val="0"/>
              <w:widowControl w:val="0"/>
              <w:suppressLineNumbers w:val="0"/>
              <w:spacing w:before="0" w:beforeAutospacing="0" w:after="0" w:afterAutospacing="0"/>
              <w:ind w:left="0" w:right="0" w:firstLine="480"/>
              <w:jc w:val="both"/>
              <w:rPr>
                <w:rFonts w:hint="default"/>
                <w:sz w:val="21"/>
                <w:szCs w:val="21"/>
              </w:rPr>
            </w:pPr>
            <w:r>
              <w:rPr>
                <w:rFonts w:hint="eastAsia" w:ascii="宋体" w:hAnsi="宋体" w:cs="宋体"/>
                <w:sz w:val="21"/>
                <w:szCs w:val="21"/>
              </w:rPr>
              <w:t>②</w:t>
            </w:r>
            <w:r>
              <w:rPr>
                <w:rFonts w:hint="default"/>
                <w:sz w:val="21"/>
                <w:szCs w:val="21"/>
              </w:rPr>
              <w:t>定期更换</w:t>
            </w:r>
            <w:r>
              <w:rPr>
                <w:rFonts w:hint="eastAsia"/>
                <w:sz w:val="21"/>
                <w:szCs w:val="21"/>
              </w:rPr>
              <w:t>活性炭</w:t>
            </w:r>
            <w:r>
              <w:rPr>
                <w:rFonts w:hint="default"/>
                <w:sz w:val="21"/>
                <w:szCs w:val="21"/>
              </w:rPr>
              <w:t xml:space="preserve">； </w:t>
            </w:r>
          </w:p>
          <w:p>
            <w:pPr>
              <w:keepNext w:val="0"/>
              <w:keepLines w:val="0"/>
              <w:widowControl w:val="0"/>
              <w:suppressLineNumbers w:val="0"/>
              <w:spacing w:before="0" w:beforeAutospacing="0" w:after="0" w:afterAutospacing="0"/>
              <w:ind w:left="0" w:right="0" w:firstLine="480"/>
              <w:jc w:val="both"/>
              <w:rPr>
                <w:rFonts w:hint="default"/>
                <w:sz w:val="21"/>
                <w:szCs w:val="21"/>
              </w:rPr>
            </w:pPr>
            <w:r>
              <w:rPr>
                <w:rFonts w:hint="eastAsia" w:ascii="宋体" w:hAnsi="宋体" w:cs="宋体"/>
                <w:sz w:val="21"/>
                <w:szCs w:val="21"/>
              </w:rPr>
              <w:t>③</w:t>
            </w:r>
            <w:r>
              <w:rPr>
                <w:rFonts w:hint="default"/>
                <w:sz w:val="21"/>
                <w:szCs w:val="21"/>
              </w:rPr>
              <w:t xml:space="preserve">建立健全的环保管理机构，对环保管理人员和技术人员进行岗位培训，委 托具有专业资质的环境检测单位对项目排放的各类污染物进行定期检测； </w:t>
            </w:r>
          </w:p>
          <w:p>
            <w:pPr>
              <w:keepNext w:val="0"/>
              <w:keepLines w:val="0"/>
              <w:widowControl w:val="0"/>
              <w:suppressLineNumbers w:val="0"/>
              <w:spacing w:before="0" w:beforeAutospacing="0" w:after="0" w:afterAutospacing="0"/>
              <w:ind w:left="0" w:right="0" w:firstLine="480"/>
              <w:jc w:val="both"/>
              <w:rPr>
                <w:rFonts w:hint="default" w:cs="Times New Roman"/>
                <w:bCs/>
                <w:kern w:val="2"/>
                <w:sz w:val="21"/>
                <w:szCs w:val="21"/>
              </w:rPr>
            </w:pPr>
            <w:r>
              <w:rPr>
                <w:rFonts w:hint="eastAsia" w:ascii="宋体" w:hAnsi="宋体" w:cs="宋体"/>
                <w:sz w:val="21"/>
                <w:szCs w:val="21"/>
              </w:rPr>
              <w:t>④</w:t>
            </w:r>
            <w:r>
              <w:rPr>
                <w:rFonts w:hint="default"/>
                <w:sz w:val="21"/>
                <w:szCs w:val="21"/>
              </w:rPr>
              <w:t>应定期维护、检修废气净化装置，以保持废气处理装置的净化能力和净化 容量</w:t>
            </w:r>
            <w:r>
              <w:rPr>
                <w:rFonts w:hint="eastAsia" w:cs="Times New Roman"/>
                <w:bCs/>
                <w:kern w:val="2"/>
                <w:sz w:val="21"/>
                <w:szCs w:val="21"/>
              </w:rPr>
              <w:t>。</w:t>
            </w:r>
          </w:p>
          <w:p>
            <w:pPr>
              <w:keepNext w:val="0"/>
              <w:keepLines w:val="0"/>
              <w:widowControl/>
              <w:suppressLineNumbers w:val="0"/>
              <w:spacing w:before="0" w:beforeAutospacing="0" w:after="0" w:afterAutospacing="0"/>
              <w:ind w:left="0" w:right="0" w:firstLine="422"/>
              <w:rPr>
                <w:rFonts w:hint="default" w:eastAsia="Times New Roman" w:cs="Times New Roman"/>
                <w:b/>
                <w:sz w:val="21"/>
                <w:szCs w:val="21"/>
              </w:rPr>
            </w:pPr>
            <w:r>
              <w:rPr>
                <w:rFonts w:hint="eastAsia" w:cs="Times New Roman"/>
                <w:b/>
                <w:sz w:val="21"/>
                <w:szCs w:val="21"/>
              </w:rPr>
              <w:t>4</w:t>
            </w:r>
            <w:r>
              <w:rPr>
                <w:rFonts w:hint="default" w:cs="Times New Roman"/>
                <w:b/>
                <w:sz w:val="21"/>
                <w:szCs w:val="21"/>
              </w:rPr>
              <w:t>.2.2营运期地表水环境影响分析</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eastAsia" w:cs="Times New Roman"/>
                <w:b/>
                <w:sz w:val="21"/>
                <w:szCs w:val="21"/>
              </w:rPr>
              <w:t>4</w:t>
            </w:r>
            <w:r>
              <w:rPr>
                <w:rFonts w:hint="default" w:cs="Times New Roman"/>
                <w:b/>
                <w:sz w:val="21"/>
                <w:szCs w:val="21"/>
              </w:rPr>
              <w:t>.2.2</w:t>
            </w:r>
            <w:r>
              <w:rPr>
                <w:rFonts w:hint="eastAsia" w:cs="Times New Roman"/>
                <w:b/>
                <w:sz w:val="21"/>
                <w:szCs w:val="21"/>
                <w:lang w:val="en-US" w:eastAsia="zh-CN"/>
              </w:rPr>
              <w:t>.1</w:t>
            </w:r>
            <w:r>
              <w:rPr>
                <w:rFonts w:hint="default" w:cs="Times New Roman"/>
                <w:b/>
                <w:kern w:val="44"/>
                <w:sz w:val="21"/>
                <w:szCs w:val="21"/>
              </w:rPr>
              <w:t>营运期</w:t>
            </w:r>
            <w:r>
              <w:rPr>
                <w:rFonts w:hint="default" w:cs="Times New Roman"/>
                <w:b/>
                <w:sz w:val="21"/>
                <w:szCs w:val="21"/>
              </w:rPr>
              <w:t>废水</w:t>
            </w:r>
            <w:r>
              <w:rPr>
                <w:rFonts w:hint="eastAsia" w:cs="Times New Roman"/>
                <w:b/>
                <w:sz w:val="21"/>
                <w:szCs w:val="21"/>
              </w:rPr>
              <w:t>源强核算</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eastAsia" w:cs="Times New Roman"/>
                <w:sz w:val="21"/>
                <w:szCs w:val="21"/>
              </w:rPr>
              <w:t>1、生活废水</w:t>
            </w:r>
          </w:p>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eastAsia" w:cs="Times New Roman"/>
                <w:sz w:val="21"/>
                <w:szCs w:val="21"/>
              </w:rPr>
              <w:t>本项目</w:t>
            </w:r>
            <w:r>
              <w:rPr>
                <w:rFonts w:hint="default" w:cs="Times New Roman"/>
                <w:kern w:val="2"/>
                <w:sz w:val="21"/>
                <w:szCs w:val="21"/>
              </w:rPr>
              <w:t>项目劳动定员</w:t>
            </w:r>
            <w:r>
              <w:rPr>
                <w:rFonts w:hint="eastAsia" w:cs="Times New Roman"/>
                <w:kern w:val="2"/>
                <w:sz w:val="21"/>
                <w:szCs w:val="21"/>
              </w:rPr>
              <w:t>200</w:t>
            </w:r>
            <w:r>
              <w:rPr>
                <w:rFonts w:hint="default" w:cs="Times New Roman"/>
                <w:kern w:val="2"/>
                <w:sz w:val="21"/>
                <w:szCs w:val="21"/>
              </w:rPr>
              <w:t>人（无住宿），年工作</w:t>
            </w:r>
            <w:r>
              <w:rPr>
                <w:rFonts w:hint="eastAsia" w:cs="Times New Roman"/>
                <w:kern w:val="2"/>
                <w:sz w:val="21"/>
                <w:szCs w:val="21"/>
              </w:rPr>
              <w:t>250</w:t>
            </w:r>
            <w:r>
              <w:rPr>
                <w:rFonts w:hint="default" w:cs="Times New Roman"/>
                <w:kern w:val="2"/>
                <w:sz w:val="21"/>
                <w:szCs w:val="21"/>
              </w:rPr>
              <w:t>天。按照《湖南省用水定额》(DB43/T388-2014)中的指标计算，住宿职工生活用水量按150L/d•人计，不住宿职工生活用水量按50L/d•人计，则本项目生活用水量为</w:t>
            </w:r>
            <w:r>
              <w:rPr>
                <w:rFonts w:hint="eastAsia" w:cs="Times New Roman"/>
                <w:kern w:val="2"/>
                <w:sz w:val="21"/>
                <w:szCs w:val="21"/>
              </w:rPr>
              <w:t>10m³</w:t>
            </w:r>
            <w:r>
              <w:rPr>
                <w:rFonts w:hint="default" w:cs="Times New Roman"/>
                <w:kern w:val="2"/>
                <w:sz w:val="21"/>
                <w:szCs w:val="21"/>
              </w:rPr>
              <w:t>/d（</w:t>
            </w:r>
            <w:r>
              <w:rPr>
                <w:rFonts w:hint="eastAsia" w:cs="Times New Roman"/>
                <w:kern w:val="2"/>
                <w:sz w:val="21"/>
                <w:szCs w:val="21"/>
              </w:rPr>
              <w:t>2500m³</w:t>
            </w:r>
            <w:r>
              <w:rPr>
                <w:rFonts w:hint="default" w:cs="Times New Roman"/>
                <w:kern w:val="2"/>
                <w:sz w:val="21"/>
                <w:szCs w:val="21"/>
              </w:rPr>
              <w:t>/a），污水排放系数取0.8，则生活废水排放量约为</w:t>
            </w:r>
            <w:r>
              <w:rPr>
                <w:rFonts w:hint="eastAsia" w:cs="Times New Roman"/>
                <w:kern w:val="2"/>
                <w:sz w:val="21"/>
                <w:szCs w:val="21"/>
              </w:rPr>
              <w:t>8m³</w:t>
            </w:r>
            <w:r>
              <w:rPr>
                <w:rFonts w:hint="default" w:cs="Times New Roman"/>
                <w:kern w:val="2"/>
                <w:sz w:val="21"/>
                <w:szCs w:val="21"/>
              </w:rPr>
              <w:t>/d（</w:t>
            </w:r>
            <w:r>
              <w:rPr>
                <w:rFonts w:hint="eastAsia" w:cs="Times New Roman"/>
                <w:kern w:val="2"/>
                <w:sz w:val="21"/>
                <w:szCs w:val="21"/>
              </w:rPr>
              <w:t>2000m³</w:t>
            </w:r>
            <w:r>
              <w:rPr>
                <w:rFonts w:hint="default" w:cs="Times New Roman"/>
                <w:kern w:val="2"/>
                <w:sz w:val="21"/>
                <w:szCs w:val="21"/>
              </w:rPr>
              <w:t>/a）。生活废水经化粪池预处理后经污水管网排放至污水处理厂。</w:t>
            </w:r>
            <w:r>
              <w:rPr>
                <w:rFonts w:hint="eastAsia" w:cs="Times New Roman"/>
                <w:kern w:val="2"/>
                <w:sz w:val="21"/>
                <w:szCs w:val="21"/>
              </w:rPr>
              <w:t>化粪池为可行技术。</w:t>
            </w:r>
          </w:p>
          <w:p>
            <w:pPr>
              <w:pStyle w:val="49"/>
              <w:keepNext w:val="0"/>
              <w:keepLines w:val="0"/>
              <w:widowControl/>
              <w:suppressLineNumbers w:val="0"/>
              <w:spacing w:before="0" w:beforeAutospacing="0" w:after="0" w:afterAutospacing="0"/>
              <w:ind w:left="0" w:right="0" w:firstLine="420"/>
              <w:rPr>
                <w:rFonts w:hint="default"/>
                <w:color w:val="auto"/>
                <w:sz w:val="21"/>
                <w:szCs w:val="21"/>
              </w:rPr>
            </w:pPr>
            <w:r>
              <w:rPr>
                <w:rFonts w:hint="eastAsia"/>
                <w:color w:val="auto"/>
                <w:sz w:val="21"/>
                <w:szCs w:val="21"/>
              </w:rPr>
              <w:t>表4</w:t>
            </w:r>
            <w:r>
              <w:rPr>
                <w:rFonts w:hint="eastAsia"/>
                <w:color w:val="auto"/>
                <w:sz w:val="21"/>
                <w:szCs w:val="21"/>
                <w:lang w:val="en-US" w:eastAsia="zh-CN"/>
              </w:rPr>
              <w:t>-3</w:t>
            </w:r>
            <w:r>
              <w:rPr>
                <w:rFonts w:hint="default"/>
                <w:color w:val="auto"/>
                <w:sz w:val="21"/>
                <w:szCs w:val="21"/>
              </w:rPr>
              <w:t xml:space="preserve">  项目</w:t>
            </w:r>
            <w:r>
              <w:rPr>
                <w:rFonts w:hint="eastAsia"/>
                <w:color w:val="auto"/>
                <w:sz w:val="21"/>
                <w:szCs w:val="21"/>
              </w:rPr>
              <w:t>废水</w:t>
            </w:r>
            <w:r>
              <w:rPr>
                <w:rFonts w:hint="default"/>
                <w:color w:val="auto"/>
                <w:sz w:val="21"/>
                <w:szCs w:val="21"/>
              </w:rPr>
              <w:t>产生情况一览表</w:t>
            </w:r>
          </w:p>
          <w:tbl>
            <w:tblPr>
              <w:tblStyle w:val="26"/>
              <w:tblW w:w="79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1073"/>
              <w:gridCol w:w="1216"/>
              <w:gridCol w:w="1217"/>
              <w:gridCol w:w="3234"/>
              <w:gridCol w:w="7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4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序号</w:t>
                  </w:r>
                </w:p>
              </w:tc>
              <w:tc>
                <w:tcPr>
                  <w:tcW w:w="10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类别</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废水产生量（</w:t>
                  </w:r>
                  <w:r>
                    <w:rPr>
                      <w:rFonts w:hint="eastAsia" w:ascii="Calibri" w:hAnsi="Calibri" w:eastAsia="Times New Roman" w:cs="Times New Roman"/>
                      <w:sz w:val="21"/>
                      <w:szCs w:val="21"/>
                    </w:rPr>
                    <w:t>m³</w:t>
                  </w:r>
                  <w:r>
                    <w:rPr>
                      <w:rFonts w:hint="default" w:ascii="Calibri" w:hAnsi="Calibri" w:eastAsia="Times New Roman" w:cs="Times New Roman"/>
                      <w:sz w:val="21"/>
                      <w:szCs w:val="21"/>
                    </w:rPr>
                    <w:t>/a）</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废水排放量（</w:t>
                  </w:r>
                  <w:r>
                    <w:rPr>
                      <w:rFonts w:hint="eastAsia" w:ascii="Calibri" w:hAnsi="Calibri" w:eastAsia="Times New Roman" w:cs="Times New Roman"/>
                      <w:sz w:val="21"/>
                      <w:szCs w:val="21"/>
                    </w:rPr>
                    <w:t>m³</w:t>
                  </w:r>
                  <w:r>
                    <w:rPr>
                      <w:rFonts w:hint="default" w:ascii="Calibri" w:hAnsi="Calibri" w:eastAsia="Times New Roman" w:cs="Times New Roman"/>
                      <w:sz w:val="21"/>
                      <w:szCs w:val="21"/>
                    </w:rPr>
                    <w:t>/a）</w:t>
                  </w:r>
                </w:p>
              </w:tc>
              <w:tc>
                <w:tcPr>
                  <w:tcW w:w="324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废水处理设施</w:t>
                  </w:r>
                </w:p>
              </w:tc>
              <w:tc>
                <w:tcPr>
                  <w:tcW w:w="75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4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cs="Times New Roman" w:eastAsiaTheme="minorEastAsia"/>
                      <w:sz w:val="21"/>
                      <w:szCs w:val="21"/>
                    </w:rPr>
                  </w:pPr>
                  <w:r>
                    <w:rPr>
                      <w:rFonts w:hint="default" w:ascii="Calibri" w:hAnsi="Calibri" w:cs="Times New Roman" w:eastAsiaTheme="minorEastAsia"/>
                      <w:sz w:val="21"/>
                      <w:szCs w:val="21"/>
                    </w:rPr>
                    <w:t>1</w:t>
                  </w:r>
                </w:p>
              </w:tc>
              <w:tc>
                <w:tcPr>
                  <w:tcW w:w="10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生活用水</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cs="Times New Roman" w:eastAsiaTheme="minorEastAsia"/>
                      <w:sz w:val="21"/>
                      <w:szCs w:val="21"/>
                    </w:rPr>
                  </w:pPr>
                  <w:r>
                    <w:rPr>
                      <w:rFonts w:hint="eastAsia" w:ascii="Calibri" w:hAnsi="Calibri" w:cs="Times New Roman" w:eastAsiaTheme="minorEastAsia"/>
                      <w:sz w:val="21"/>
                      <w:szCs w:val="21"/>
                    </w:rPr>
                    <w:t>2500</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cs="Times New Roman" w:eastAsiaTheme="minorEastAsia"/>
                      <w:sz w:val="21"/>
                      <w:szCs w:val="21"/>
                    </w:rPr>
                  </w:pPr>
                  <w:r>
                    <w:rPr>
                      <w:rFonts w:hint="eastAsia" w:ascii="Calibri" w:hAnsi="Calibri" w:cs="Times New Roman" w:eastAsiaTheme="minorEastAsia"/>
                      <w:sz w:val="21"/>
                      <w:szCs w:val="21"/>
                    </w:rPr>
                    <w:t>2000</w:t>
                  </w:r>
                </w:p>
              </w:tc>
              <w:tc>
                <w:tcPr>
                  <w:tcW w:w="324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r>
                    <w:rPr>
                      <w:rFonts w:hint="default" w:ascii="Calibri" w:hAnsi="Calibri" w:eastAsia="Times New Roman" w:cs="Times New Roman"/>
                      <w:sz w:val="21"/>
                      <w:szCs w:val="21"/>
                    </w:rPr>
                    <w:t>化粪池处理后排至污水处理厂</w:t>
                  </w:r>
                </w:p>
              </w:tc>
              <w:tc>
                <w:tcPr>
                  <w:tcW w:w="75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default" w:ascii="Calibri" w:hAnsi="Calibri" w:eastAsia="Times New Roman" w:cs="Times New Roman"/>
                      <w:sz w:val="21"/>
                      <w:szCs w:val="21"/>
                    </w:rPr>
                  </w:pPr>
                </w:p>
              </w:tc>
            </w:tr>
          </w:tbl>
          <w:p>
            <w:pPr>
              <w:keepNext w:val="0"/>
              <w:keepLines w:val="0"/>
              <w:widowControl/>
              <w:suppressLineNumbers w:val="0"/>
              <w:spacing w:before="0" w:beforeAutospacing="0" w:after="0" w:afterAutospacing="0"/>
              <w:ind w:left="0" w:right="0" w:firstLine="422"/>
              <w:jc w:val="center"/>
              <w:rPr>
                <w:rFonts w:hint="default" w:cs="Times New Roman"/>
                <w:b/>
                <w:sz w:val="21"/>
                <w:szCs w:val="21"/>
              </w:rPr>
            </w:pPr>
          </w:p>
          <w:p>
            <w:pPr>
              <w:pStyle w:val="49"/>
              <w:keepNext w:val="0"/>
              <w:keepLines w:val="0"/>
              <w:widowControl/>
              <w:suppressLineNumbers w:val="0"/>
              <w:spacing w:before="0" w:beforeAutospacing="0" w:after="0" w:afterAutospacing="0"/>
              <w:ind w:left="0" w:right="0" w:firstLine="420"/>
              <w:rPr>
                <w:rFonts w:hint="default"/>
                <w:color w:val="auto"/>
                <w:sz w:val="21"/>
                <w:szCs w:val="21"/>
              </w:rPr>
            </w:pPr>
            <w:r>
              <w:rPr>
                <w:rFonts w:hint="eastAsia"/>
                <w:color w:val="auto"/>
                <w:sz w:val="21"/>
                <w:szCs w:val="21"/>
              </w:rPr>
              <w:t>表4</w:t>
            </w:r>
            <w:r>
              <w:rPr>
                <w:rFonts w:hint="eastAsia"/>
                <w:color w:val="auto"/>
                <w:sz w:val="21"/>
                <w:szCs w:val="21"/>
                <w:lang w:val="en-US" w:eastAsia="zh-CN"/>
              </w:rPr>
              <w:t>-</w:t>
            </w:r>
            <w:r>
              <w:rPr>
                <w:rFonts w:hint="default"/>
                <w:color w:val="auto"/>
                <w:sz w:val="21"/>
                <w:szCs w:val="21"/>
              </w:rPr>
              <w:t>4</w:t>
            </w:r>
            <w:r>
              <w:rPr>
                <w:rFonts w:hint="eastAsia"/>
                <w:color w:val="auto"/>
                <w:sz w:val="21"/>
                <w:szCs w:val="21"/>
              </w:rPr>
              <w:t xml:space="preserve">  生活</w:t>
            </w:r>
            <w:r>
              <w:rPr>
                <w:rFonts w:hint="default"/>
                <w:color w:val="auto"/>
                <w:sz w:val="21"/>
                <w:szCs w:val="21"/>
              </w:rPr>
              <w:t>废水</w:t>
            </w:r>
            <w:r>
              <w:rPr>
                <w:rFonts w:hint="eastAsia"/>
                <w:color w:val="auto"/>
                <w:sz w:val="21"/>
                <w:szCs w:val="21"/>
              </w:rPr>
              <w:t>污染物</w:t>
            </w:r>
            <w:r>
              <w:rPr>
                <w:rFonts w:hint="default"/>
                <w:color w:val="auto"/>
                <w:sz w:val="21"/>
                <w:szCs w:val="21"/>
              </w:rPr>
              <w:t>产</w:t>
            </w:r>
            <w:r>
              <w:rPr>
                <w:rFonts w:hint="eastAsia"/>
                <w:color w:val="auto"/>
                <w:sz w:val="21"/>
                <w:szCs w:val="21"/>
              </w:rPr>
              <w:t>排</w:t>
            </w:r>
            <w:r>
              <w:rPr>
                <w:rFonts w:hint="default"/>
                <w:color w:val="auto"/>
                <w:sz w:val="21"/>
                <w:szCs w:val="21"/>
              </w:rPr>
              <w:t>情况一览表</w:t>
            </w:r>
          </w:p>
          <w:tbl>
            <w:tblPr>
              <w:tblStyle w:val="25"/>
              <w:tblW w:w="4998" w:type="pct"/>
              <w:tblInd w:w="0" w:type="dxa"/>
              <w:tblLayout w:type="autofit"/>
              <w:tblCellMar>
                <w:top w:w="0" w:type="dxa"/>
                <w:left w:w="0" w:type="dxa"/>
                <w:bottom w:w="0" w:type="dxa"/>
                <w:right w:w="0" w:type="dxa"/>
              </w:tblCellMar>
            </w:tblPr>
            <w:tblGrid>
              <w:gridCol w:w="946"/>
              <w:gridCol w:w="946"/>
              <w:gridCol w:w="946"/>
              <w:gridCol w:w="946"/>
              <w:gridCol w:w="948"/>
              <w:gridCol w:w="946"/>
              <w:gridCol w:w="949"/>
              <w:gridCol w:w="947"/>
              <w:gridCol w:w="949"/>
            </w:tblGrid>
            <w:tr>
              <w:trPr>
                <w:trHeight w:val="525" w:hRule="atLeast"/>
              </w:trPr>
              <w:tc>
                <w:tcPr>
                  <w:tcW w:w="555" w:type="pct"/>
                  <w:vMerge w:val="restart"/>
                  <w:tcBorders>
                    <w:top w:val="single" w:color="000000" w:sz="8" w:space="0"/>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废水</w:t>
                  </w:r>
                </w:p>
              </w:tc>
              <w:tc>
                <w:tcPr>
                  <w:tcW w:w="555" w:type="pct"/>
                  <w:vMerge w:val="restart"/>
                  <w:tcBorders>
                    <w:top w:val="single" w:color="000000" w:sz="8" w:space="0"/>
                    <w:left w:val="nil"/>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废水量</w:t>
                  </w:r>
                </w:p>
                <w:p>
                  <w:pPr>
                    <w:pStyle w:val="32"/>
                    <w:keepNext w:val="0"/>
                    <w:keepLines w:val="0"/>
                    <w:widowControl/>
                    <w:suppressLineNumbers w:val="0"/>
                    <w:spacing w:before="0" w:beforeAutospacing="0" w:afterAutospacing="0"/>
                    <w:ind w:left="0" w:right="0"/>
                    <w:rPr>
                      <w:rFonts w:hint="default"/>
                    </w:rPr>
                  </w:pPr>
                  <w:r>
                    <w:rPr>
                      <w:rFonts w:hint="default"/>
                    </w:rPr>
                    <w:t>（</w:t>
                  </w:r>
                  <w:r>
                    <w:rPr>
                      <w:rFonts w:hint="eastAsia"/>
                    </w:rPr>
                    <w:t>m³</w:t>
                  </w:r>
                  <w:r>
                    <w:rPr>
                      <w:rFonts w:hint="default"/>
                    </w:rPr>
                    <w:t>/a）</w:t>
                  </w:r>
                </w:p>
              </w:tc>
              <w:tc>
                <w:tcPr>
                  <w:tcW w:w="555" w:type="pct"/>
                  <w:vMerge w:val="restart"/>
                  <w:tcBorders>
                    <w:top w:val="single" w:color="000000" w:sz="8" w:space="0"/>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污染物</w:t>
                  </w:r>
                </w:p>
              </w:tc>
              <w:tc>
                <w:tcPr>
                  <w:tcW w:w="1111" w:type="pct"/>
                  <w:gridSpan w:val="2"/>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化粪池处理前</w:t>
                  </w:r>
                </w:p>
              </w:tc>
              <w:tc>
                <w:tcPr>
                  <w:tcW w:w="1111" w:type="pct"/>
                  <w:gridSpan w:val="2"/>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化粪池处理后</w:t>
                  </w:r>
                </w:p>
              </w:tc>
              <w:tc>
                <w:tcPr>
                  <w:tcW w:w="1111" w:type="pct"/>
                  <w:gridSpan w:val="2"/>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污水处理厂排放标准及排放量</w:t>
                  </w:r>
                </w:p>
              </w:tc>
            </w:tr>
            <w:tr>
              <w:tblPrEx>
                <w:tblCellMar>
                  <w:top w:w="0" w:type="dxa"/>
                  <w:left w:w="0" w:type="dxa"/>
                  <w:bottom w:w="0" w:type="dxa"/>
                  <w:right w:w="0" w:type="dxa"/>
                </w:tblCellMar>
              </w:tblPrEx>
              <w:trPr>
                <w:trHeight w:val="285" w:hRule="atLeast"/>
              </w:trPr>
              <w:tc>
                <w:tcPr>
                  <w:tcW w:w="555" w:type="pct"/>
                  <w:vMerge w:val="continue"/>
                  <w:tcBorders>
                    <w:top w:val="single" w:color="000000" w:sz="8" w:space="0"/>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浓度</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产生量</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浓度</w:t>
                  </w:r>
                </w:p>
              </w:tc>
              <w:tc>
                <w:tcPr>
                  <w:tcW w:w="555" w:type="pct"/>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排放</w:t>
                  </w:r>
                  <w:r>
                    <w:rPr>
                      <w:rFonts w:hint="default"/>
                    </w:rPr>
                    <w:t>量</w:t>
                  </w:r>
                </w:p>
              </w:tc>
              <w:tc>
                <w:tcPr>
                  <w:tcW w:w="555" w:type="pct"/>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浓度</w:t>
                  </w:r>
                </w:p>
              </w:tc>
              <w:tc>
                <w:tcPr>
                  <w:tcW w:w="555" w:type="pct"/>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排放量</w:t>
                  </w:r>
                </w:p>
              </w:tc>
            </w:tr>
            <w:tr>
              <w:trPr>
                <w:trHeight w:val="285" w:hRule="atLeast"/>
              </w:trPr>
              <w:tc>
                <w:tcPr>
                  <w:tcW w:w="555" w:type="pct"/>
                  <w:vMerge w:val="continue"/>
                  <w:tcBorders>
                    <w:top w:val="single" w:color="000000" w:sz="8" w:space="0"/>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bottom w:val="single" w:color="000000" w:sz="8" w:space="0"/>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（mg/L）</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（t/a）</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（mg/L）</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（t/a）</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（mg/L）</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（t/a）</w:t>
                  </w:r>
                </w:p>
              </w:tc>
            </w:tr>
            <w:tr>
              <w:tblPrEx>
                <w:tblCellMar>
                  <w:top w:w="0" w:type="dxa"/>
                  <w:left w:w="0" w:type="dxa"/>
                  <w:bottom w:w="0" w:type="dxa"/>
                  <w:right w:w="0" w:type="dxa"/>
                </w:tblCellMar>
              </w:tblPrEx>
              <w:trPr>
                <w:trHeight w:val="285" w:hRule="atLeast"/>
              </w:trPr>
              <w:tc>
                <w:tcPr>
                  <w:tcW w:w="555" w:type="pct"/>
                  <w:vMerge w:val="restart"/>
                  <w:tcBorders>
                    <w:top w:val="nil"/>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生活</w:t>
                  </w:r>
                </w:p>
                <w:p>
                  <w:pPr>
                    <w:pStyle w:val="32"/>
                    <w:keepNext w:val="0"/>
                    <w:keepLines w:val="0"/>
                    <w:widowControl/>
                    <w:suppressLineNumbers w:val="0"/>
                    <w:spacing w:before="0" w:beforeAutospacing="0" w:afterAutospacing="0"/>
                    <w:ind w:left="0" w:right="0"/>
                    <w:rPr>
                      <w:rFonts w:hint="default"/>
                    </w:rPr>
                  </w:pPr>
                  <w:r>
                    <w:rPr>
                      <w:rFonts w:hint="default"/>
                    </w:rPr>
                    <w:t>污水</w:t>
                  </w:r>
                </w:p>
              </w:tc>
              <w:tc>
                <w:tcPr>
                  <w:tcW w:w="555" w:type="pct"/>
                  <w:vMerge w:val="restart"/>
                  <w:tcBorders>
                    <w:top w:val="nil"/>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2000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CODcr</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400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0.8</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350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0.7</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0.1</w:t>
                  </w:r>
                </w:p>
              </w:tc>
            </w:tr>
            <w:tr>
              <w:trPr>
                <w:trHeight w:val="360" w:hRule="atLeast"/>
              </w:trPr>
              <w:tc>
                <w:tcPr>
                  <w:tcW w:w="555"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BOD5</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0.4</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150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0.3</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0.02</w:t>
                  </w:r>
                </w:p>
              </w:tc>
            </w:tr>
            <w:tr>
              <w:trPr>
                <w:trHeight w:val="285" w:hRule="atLeast"/>
              </w:trPr>
              <w:tc>
                <w:tcPr>
                  <w:tcW w:w="555"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SS</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0.4</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150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0.3</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0.1</w:t>
                  </w:r>
                </w:p>
              </w:tc>
            </w:tr>
            <w:tr>
              <w:trPr>
                <w:trHeight w:val="360" w:hRule="atLeast"/>
              </w:trPr>
              <w:tc>
                <w:tcPr>
                  <w:tcW w:w="555"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NH3-N</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35</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0.07</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30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0.06</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0.01</w:t>
                  </w:r>
                </w:p>
              </w:tc>
            </w:tr>
            <w:tr>
              <w:trPr>
                <w:trHeight w:val="285" w:hRule="atLeast"/>
              </w:trPr>
              <w:tc>
                <w:tcPr>
                  <w:tcW w:w="555"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TN</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85</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0.17</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40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0.08</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r>
            <w:tr>
              <w:trPr>
                <w:trHeight w:val="285" w:hRule="atLeast"/>
              </w:trPr>
              <w:tc>
                <w:tcPr>
                  <w:tcW w:w="555" w:type="pct"/>
                  <w:vMerge w:val="continue"/>
                  <w:tcBorders>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vMerge w:val="continue"/>
                  <w:tcBorders>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TP</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15</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0.03</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8</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0.016</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5" w:type="pct"/>
                  <w:tcBorders>
                    <w:top w:val="nil"/>
                    <w:left w:val="nil"/>
                    <w:bottom w:val="single" w:color="000000" w:sz="8" w:space="0"/>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r>
          </w:tbl>
          <w:p>
            <w:pPr>
              <w:keepNext w:val="0"/>
              <w:keepLines w:val="0"/>
              <w:widowControl/>
              <w:suppressLineNumbers w:val="0"/>
              <w:spacing w:before="0" w:beforeAutospacing="0" w:after="0" w:afterAutospacing="0"/>
              <w:ind w:left="0" w:right="0" w:firstLine="420"/>
              <w:rPr>
                <w:rFonts w:hint="default" w:cs="Times New Roman"/>
                <w:sz w:val="21"/>
                <w:szCs w:val="21"/>
              </w:rPr>
            </w:pPr>
            <w:r>
              <w:rPr>
                <w:rFonts w:hint="default" w:cs="Times New Roman"/>
                <w:sz w:val="21"/>
                <w:szCs w:val="21"/>
              </w:rPr>
              <w:t>项目废水主要为生活污水，经化粪池处理达到</w:t>
            </w:r>
            <w:r>
              <w:rPr>
                <w:rFonts w:hint="eastAsia" w:cs="Times New Roman"/>
                <w:sz w:val="21"/>
                <w:szCs w:val="21"/>
              </w:rPr>
              <w:t>污水处理厂接纳标准后</w:t>
            </w:r>
            <w:r>
              <w:rPr>
                <w:rFonts w:hint="default" w:cs="Times New Roman"/>
                <w:sz w:val="21"/>
                <w:szCs w:val="21"/>
              </w:rPr>
              <w:t>经片区污水管网进入污水处理厂</w:t>
            </w:r>
            <w:r>
              <w:rPr>
                <w:rFonts w:hint="eastAsia" w:cs="Times New Roman"/>
                <w:sz w:val="21"/>
                <w:szCs w:val="21"/>
              </w:rPr>
              <w:t>。</w:t>
            </w:r>
          </w:p>
          <w:p>
            <w:pPr>
              <w:keepNext w:val="0"/>
              <w:keepLines w:val="0"/>
              <w:widowControl w:val="0"/>
              <w:suppressLineNumbers w:val="0"/>
              <w:spacing w:before="0" w:beforeAutospacing="0" w:after="0" w:afterAutospacing="0"/>
              <w:ind w:left="0" w:right="0" w:firstLine="422"/>
              <w:jc w:val="both"/>
              <w:rPr>
                <w:rFonts w:hint="default" w:cs="Times New Roman"/>
                <w:b/>
                <w:kern w:val="2"/>
                <w:sz w:val="21"/>
                <w:szCs w:val="21"/>
              </w:rPr>
            </w:pPr>
            <w:r>
              <w:rPr>
                <w:rFonts w:hint="eastAsia" w:cs="Times New Roman"/>
                <w:b/>
                <w:kern w:val="2"/>
                <w:sz w:val="21"/>
                <w:szCs w:val="21"/>
              </w:rPr>
              <w:t>2、水压试验水</w:t>
            </w:r>
          </w:p>
          <w:p>
            <w:pPr>
              <w:keepNext w:val="0"/>
              <w:keepLines w:val="0"/>
              <w:widowControl/>
              <w:suppressLineNumbers w:val="0"/>
              <w:spacing w:before="0" w:beforeAutospacing="0" w:after="200" w:afterAutospacing="0"/>
              <w:ind w:left="0" w:right="0" w:firstLine="420"/>
              <w:rPr>
                <w:rFonts w:hint="default"/>
                <w:sz w:val="21"/>
                <w:szCs w:val="21"/>
              </w:rPr>
            </w:pPr>
            <w:r>
              <w:rPr>
                <w:rFonts w:hint="eastAsia"/>
                <w:sz w:val="21"/>
                <w:szCs w:val="21"/>
              </w:rPr>
              <w:t>水压试验水循环使用，水压试验水设置循环水池，</w:t>
            </w:r>
            <w:r>
              <w:rPr>
                <w:rFonts w:hint="eastAsia"/>
                <w:sz w:val="21"/>
                <w:szCs w:val="21"/>
                <w:u w:val="single"/>
              </w:rPr>
              <w:t>规格为：1.5m*2m*3m。</w:t>
            </w:r>
            <w:r>
              <w:rPr>
                <w:rFonts w:hint="eastAsia"/>
                <w:sz w:val="21"/>
                <w:szCs w:val="21"/>
              </w:rPr>
              <w:t>通过自然蒸发损耗。水蒸气蒸发速率为2.54</w:t>
            </w:r>
            <w:r>
              <w:rPr>
                <w:rFonts w:hint="default" w:ascii="Arial" w:hAnsi="Arial" w:cs="Arial"/>
                <w:sz w:val="21"/>
                <w:szCs w:val="21"/>
              </w:rPr>
              <w:t>×</w:t>
            </w:r>
            <w:r>
              <w:rPr>
                <w:rFonts w:hint="eastAsia"/>
                <w:sz w:val="21"/>
                <w:szCs w:val="21"/>
              </w:rPr>
              <w:t>10</w:t>
            </w:r>
            <w:r>
              <w:rPr>
                <w:rFonts w:hint="eastAsia"/>
                <w:sz w:val="21"/>
                <w:szCs w:val="21"/>
                <w:vertAlign w:val="superscript"/>
              </w:rPr>
              <w:t>-3</w:t>
            </w:r>
            <w:r>
              <w:rPr>
                <w:rFonts w:hint="eastAsia"/>
                <w:sz w:val="21"/>
                <w:szCs w:val="21"/>
              </w:rPr>
              <w:t>m/s，因此本项目的日蒸发量为0.2286m³/d，年蒸发量约为80m³/a。</w:t>
            </w:r>
            <w:r>
              <w:rPr>
                <w:rFonts w:hint="eastAsia"/>
                <w:sz w:val="21"/>
                <w:szCs w:val="21"/>
                <w:u w:val="single"/>
              </w:rPr>
              <w:t>水压试验区循环池的排水频次约为4-5次/月，每次排水量平均约为1-1.5吨。</w:t>
            </w:r>
            <w:r>
              <w:rPr>
                <w:rFonts w:hint="eastAsia"/>
                <w:sz w:val="21"/>
                <w:szCs w:val="21"/>
              </w:rPr>
              <w:t>按5次/月，1.5吨/次计算。则排水量为90m³/a。因此用水量约为170m³/a。</w:t>
            </w:r>
          </w:p>
          <w:p>
            <w:pPr>
              <w:pStyle w:val="49"/>
              <w:keepNext w:val="0"/>
              <w:keepLines w:val="0"/>
              <w:widowControl/>
              <w:suppressLineNumbers w:val="0"/>
              <w:spacing w:before="0" w:beforeAutospacing="0" w:after="0" w:afterAutospacing="0"/>
              <w:ind w:left="0" w:right="0" w:firstLine="420"/>
              <w:rPr>
                <w:rFonts w:hint="default"/>
                <w:color w:val="auto"/>
                <w:sz w:val="21"/>
                <w:szCs w:val="21"/>
              </w:rPr>
            </w:pPr>
            <w:r>
              <w:rPr>
                <w:rFonts w:hint="eastAsia"/>
                <w:color w:val="auto"/>
                <w:sz w:val="21"/>
                <w:szCs w:val="21"/>
              </w:rPr>
              <w:t>表4</w:t>
            </w:r>
            <w:r>
              <w:rPr>
                <w:rFonts w:hint="eastAsia"/>
                <w:color w:val="auto"/>
                <w:sz w:val="21"/>
                <w:szCs w:val="21"/>
                <w:lang w:val="en-US" w:eastAsia="zh-CN"/>
              </w:rPr>
              <w:t>-</w:t>
            </w:r>
            <w:r>
              <w:rPr>
                <w:rFonts w:hint="default"/>
                <w:color w:val="auto"/>
                <w:sz w:val="21"/>
                <w:szCs w:val="21"/>
              </w:rPr>
              <w:t xml:space="preserve">5  </w:t>
            </w:r>
            <w:r>
              <w:rPr>
                <w:rFonts w:hint="eastAsia"/>
                <w:color w:val="auto"/>
                <w:sz w:val="21"/>
                <w:szCs w:val="21"/>
              </w:rPr>
              <w:t>水压试验</w:t>
            </w:r>
            <w:r>
              <w:rPr>
                <w:rFonts w:hint="default"/>
                <w:color w:val="auto"/>
                <w:sz w:val="21"/>
                <w:szCs w:val="21"/>
              </w:rPr>
              <w:t>废水</w:t>
            </w:r>
            <w:r>
              <w:rPr>
                <w:rFonts w:hint="eastAsia"/>
                <w:color w:val="auto"/>
                <w:sz w:val="21"/>
                <w:szCs w:val="21"/>
              </w:rPr>
              <w:t>污染物</w:t>
            </w:r>
            <w:r>
              <w:rPr>
                <w:rFonts w:hint="default"/>
                <w:color w:val="auto"/>
                <w:sz w:val="21"/>
                <w:szCs w:val="21"/>
              </w:rPr>
              <w:t>产</w:t>
            </w:r>
            <w:r>
              <w:rPr>
                <w:rFonts w:hint="eastAsia"/>
                <w:color w:val="auto"/>
                <w:sz w:val="21"/>
                <w:szCs w:val="21"/>
              </w:rPr>
              <w:t>排</w:t>
            </w:r>
            <w:r>
              <w:rPr>
                <w:rFonts w:hint="default"/>
                <w:color w:val="auto"/>
                <w:sz w:val="21"/>
                <w:szCs w:val="21"/>
              </w:rPr>
              <w:t>情况一览表</w:t>
            </w:r>
          </w:p>
          <w:tbl>
            <w:tblPr>
              <w:tblStyle w:val="25"/>
              <w:tblW w:w="4998" w:type="pct"/>
              <w:tblInd w:w="0" w:type="dxa"/>
              <w:tblLayout w:type="autofit"/>
              <w:tblCellMar>
                <w:top w:w="0" w:type="dxa"/>
                <w:left w:w="0" w:type="dxa"/>
                <w:bottom w:w="0" w:type="dxa"/>
                <w:right w:w="0" w:type="dxa"/>
              </w:tblCellMar>
            </w:tblPr>
            <w:tblGrid>
              <w:gridCol w:w="944"/>
              <w:gridCol w:w="945"/>
              <w:gridCol w:w="945"/>
              <w:gridCol w:w="945"/>
              <w:gridCol w:w="952"/>
              <w:gridCol w:w="945"/>
              <w:gridCol w:w="950"/>
              <w:gridCol w:w="947"/>
              <w:gridCol w:w="950"/>
            </w:tblGrid>
            <w:tr>
              <w:trPr>
                <w:trHeight w:val="525" w:hRule="atLeast"/>
              </w:trPr>
              <w:tc>
                <w:tcPr>
                  <w:tcW w:w="554" w:type="pct"/>
                  <w:vMerge w:val="restart"/>
                  <w:tcBorders>
                    <w:top w:val="single" w:color="000000" w:sz="8" w:space="0"/>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废水</w:t>
                  </w:r>
                </w:p>
              </w:tc>
              <w:tc>
                <w:tcPr>
                  <w:tcW w:w="554" w:type="pct"/>
                  <w:vMerge w:val="restart"/>
                  <w:tcBorders>
                    <w:top w:val="single" w:color="000000" w:sz="8" w:space="0"/>
                    <w:left w:val="nil"/>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废水量</w:t>
                  </w:r>
                </w:p>
                <w:p>
                  <w:pPr>
                    <w:pStyle w:val="32"/>
                    <w:keepNext w:val="0"/>
                    <w:keepLines w:val="0"/>
                    <w:widowControl/>
                    <w:suppressLineNumbers w:val="0"/>
                    <w:spacing w:before="0" w:beforeAutospacing="0" w:afterAutospacing="0"/>
                    <w:ind w:left="0" w:right="0"/>
                    <w:rPr>
                      <w:rFonts w:hint="default"/>
                    </w:rPr>
                  </w:pPr>
                  <w:r>
                    <w:rPr>
                      <w:rFonts w:hint="default"/>
                    </w:rPr>
                    <w:t>（</w:t>
                  </w:r>
                  <w:r>
                    <w:rPr>
                      <w:rFonts w:hint="eastAsia"/>
                    </w:rPr>
                    <w:t>m³</w:t>
                  </w:r>
                  <w:r>
                    <w:rPr>
                      <w:rFonts w:hint="default"/>
                    </w:rPr>
                    <w:t>/a）</w:t>
                  </w:r>
                </w:p>
              </w:tc>
              <w:tc>
                <w:tcPr>
                  <w:tcW w:w="554" w:type="pct"/>
                  <w:vMerge w:val="restart"/>
                  <w:tcBorders>
                    <w:top w:val="single" w:color="000000" w:sz="8" w:space="0"/>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污染物</w:t>
                  </w:r>
                </w:p>
              </w:tc>
              <w:tc>
                <w:tcPr>
                  <w:tcW w:w="1112" w:type="pct"/>
                  <w:gridSpan w:val="2"/>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产生情况</w:t>
                  </w:r>
                </w:p>
              </w:tc>
              <w:tc>
                <w:tcPr>
                  <w:tcW w:w="1111" w:type="pct"/>
                  <w:gridSpan w:val="2"/>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排放情况</w:t>
                  </w:r>
                </w:p>
              </w:tc>
              <w:tc>
                <w:tcPr>
                  <w:tcW w:w="1112" w:type="pct"/>
                  <w:gridSpan w:val="2"/>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污水处理厂排放标准及排放量</w:t>
                  </w:r>
                </w:p>
              </w:tc>
            </w:tr>
            <w:tr>
              <w:trPr>
                <w:trHeight w:val="285" w:hRule="atLeast"/>
              </w:trPr>
              <w:tc>
                <w:tcPr>
                  <w:tcW w:w="554" w:type="pct"/>
                  <w:vMerge w:val="continue"/>
                  <w:tcBorders>
                    <w:top w:val="single" w:color="000000" w:sz="8" w:space="0"/>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浓度</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产生量</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浓度</w:t>
                  </w:r>
                </w:p>
              </w:tc>
              <w:tc>
                <w:tcPr>
                  <w:tcW w:w="556" w:type="pct"/>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排放</w:t>
                  </w:r>
                  <w:r>
                    <w:rPr>
                      <w:rFonts w:hint="default"/>
                    </w:rPr>
                    <w:t>量</w:t>
                  </w:r>
                </w:p>
              </w:tc>
              <w:tc>
                <w:tcPr>
                  <w:tcW w:w="555" w:type="pct"/>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浓度</w:t>
                  </w:r>
                </w:p>
              </w:tc>
              <w:tc>
                <w:tcPr>
                  <w:tcW w:w="556" w:type="pct"/>
                  <w:tcBorders>
                    <w:top w:val="single" w:color="000000" w:sz="8" w:space="0"/>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排放量</w:t>
                  </w:r>
                </w:p>
              </w:tc>
            </w:tr>
            <w:tr>
              <w:trPr>
                <w:trHeight w:val="285" w:hRule="atLeast"/>
              </w:trPr>
              <w:tc>
                <w:tcPr>
                  <w:tcW w:w="554" w:type="pct"/>
                  <w:vMerge w:val="continue"/>
                  <w:tcBorders>
                    <w:top w:val="single" w:color="000000" w:sz="8" w:space="0"/>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bottom w:val="single" w:color="000000" w:sz="8" w:space="0"/>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（mg/L）</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（t/a）</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（mg/L）</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（t/a）</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（mg/L）</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（t/a）</w:t>
                  </w:r>
                </w:p>
              </w:tc>
            </w:tr>
            <w:tr>
              <w:tblPrEx>
                <w:tblCellMar>
                  <w:top w:w="0" w:type="dxa"/>
                  <w:left w:w="0" w:type="dxa"/>
                  <w:bottom w:w="0" w:type="dxa"/>
                  <w:right w:w="0" w:type="dxa"/>
                </w:tblCellMar>
              </w:tblPrEx>
              <w:trPr>
                <w:trHeight w:val="285" w:hRule="atLeast"/>
              </w:trPr>
              <w:tc>
                <w:tcPr>
                  <w:tcW w:w="554" w:type="pct"/>
                  <w:vMerge w:val="restart"/>
                  <w:tcBorders>
                    <w:top w:val="nil"/>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水压试验废水</w:t>
                  </w:r>
                </w:p>
              </w:tc>
              <w:tc>
                <w:tcPr>
                  <w:tcW w:w="554" w:type="pct"/>
                  <w:vMerge w:val="restart"/>
                  <w:tcBorders>
                    <w:top w:val="nil"/>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90</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CODcr</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100</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0.009</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100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0.009</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0.0045</w:t>
                  </w:r>
                </w:p>
              </w:tc>
            </w:tr>
            <w:tr>
              <w:tblPrEx>
                <w:tblCellMar>
                  <w:top w:w="0" w:type="dxa"/>
                  <w:left w:w="0" w:type="dxa"/>
                  <w:bottom w:w="0" w:type="dxa"/>
                  <w:right w:w="0" w:type="dxa"/>
                </w:tblCellMar>
              </w:tblPrEx>
              <w:trPr>
                <w:trHeight w:val="285" w:hRule="atLeast"/>
              </w:trPr>
              <w:tc>
                <w:tcPr>
                  <w:tcW w:w="554"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SS</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0.0018</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0.0018</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0.0045</w:t>
                  </w:r>
                </w:p>
              </w:tc>
            </w:tr>
            <w:tr>
              <w:tblPrEx>
                <w:tblCellMar>
                  <w:top w:w="0" w:type="dxa"/>
                  <w:left w:w="0" w:type="dxa"/>
                  <w:bottom w:w="0" w:type="dxa"/>
                  <w:right w:w="0" w:type="dxa"/>
                </w:tblCellMar>
              </w:tblPrEx>
              <w:trPr>
                <w:trHeight w:val="360" w:hRule="atLeast"/>
              </w:trPr>
              <w:tc>
                <w:tcPr>
                  <w:tcW w:w="554"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NH</w:t>
                  </w:r>
                  <w:r>
                    <w:rPr>
                      <w:rFonts w:hint="default"/>
                      <w:vertAlign w:val="subscript"/>
                    </w:rPr>
                    <w:t>3</w:t>
                  </w:r>
                  <w:r>
                    <w:rPr>
                      <w:rFonts w:hint="default"/>
                    </w:rPr>
                    <w:t>-N</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10</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0.0009</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0.0009</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0.00045</w:t>
                  </w:r>
                </w:p>
              </w:tc>
            </w:tr>
            <w:tr>
              <w:tblPrEx>
                <w:tblCellMar>
                  <w:top w:w="0" w:type="dxa"/>
                  <w:left w:w="0" w:type="dxa"/>
                  <w:bottom w:w="0" w:type="dxa"/>
                  <w:right w:w="0" w:type="dxa"/>
                </w:tblCellMar>
              </w:tblPrEx>
              <w:trPr>
                <w:trHeight w:val="285" w:hRule="atLeast"/>
              </w:trPr>
              <w:tc>
                <w:tcPr>
                  <w:tcW w:w="554"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TN</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15</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0.00135</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15</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0.00135</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r>
            <w:tr>
              <w:tblPrEx>
                <w:tblCellMar>
                  <w:top w:w="0" w:type="dxa"/>
                  <w:left w:w="0" w:type="dxa"/>
                  <w:bottom w:w="0" w:type="dxa"/>
                  <w:right w:w="0" w:type="dxa"/>
                </w:tblCellMar>
              </w:tblPrEx>
              <w:trPr>
                <w:trHeight w:val="285" w:hRule="atLeast"/>
              </w:trPr>
              <w:tc>
                <w:tcPr>
                  <w:tcW w:w="554" w:type="pct"/>
                  <w:vMerge w:val="continue"/>
                  <w:tcBorders>
                    <w:left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TP</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r>
            <w:tr>
              <w:trPr>
                <w:trHeight w:val="285" w:hRule="atLeast"/>
              </w:trPr>
              <w:tc>
                <w:tcPr>
                  <w:tcW w:w="554" w:type="pct"/>
                  <w:vMerge w:val="continue"/>
                  <w:tcBorders>
                    <w:left w:val="single" w:color="000000" w:sz="8" w:space="0"/>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vMerge w:val="continue"/>
                  <w:tcBorders>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石油类</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w:t>
                  </w:r>
                </w:p>
              </w:tc>
              <w:tc>
                <w:tcPr>
                  <w:tcW w:w="557"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0.0018</w:t>
                  </w:r>
                </w:p>
              </w:tc>
              <w:tc>
                <w:tcPr>
                  <w:tcW w:w="554"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20</w:t>
                  </w:r>
                </w:p>
              </w:tc>
              <w:tc>
                <w:tcPr>
                  <w:tcW w:w="556"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0.0018</w:t>
                  </w:r>
                </w:p>
              </w:tc>
              <w:tc>
                <w:tcPr>
                  <w:tcW w:w="555" w:type="pct"/>
                  <w:tcBorders>
                    <w:top w:val="nil"/>
                    <w:left w:val="nil"/>
                    <w:bottom w:val="single" w:color="000000" w:sz="8" w:space="0"/>
                    <w:right w:val="single" w:color="000000" w:sz="8" w:space="0"/>
                  </w:tcBorders>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50</w:t>
                  </w:r>
                </w:p>
              </w:tc>
              <w:tc>
                <w:tcPr>
                  <w:tcW w:w="556" w:type="pct"/>
                  <w:tcBorders>
                    <w:top w:val="nil"/>
                    <w:left w:val="nil"/>
                    <w:bottom w:val="single" w:color="000000" w:sz="8" w:space="0"/>
                    <w:right w:val="single" w:color="000000" w:sz="8" w:space="0"/>
                  </w:tcBorders>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0.0045</w:t>
                  </w:r>
                </w:p>
              </w:tc>
            </w:tr>
          </w:tbl>
          <w:p>
            <w:pPr>
              <w:keepNext w:val="0"/>
              <w:keepLines w:val="0"/>
              <w:widowControl/>
              <w:suppressLineNumbers w:val="0"/>
              <w:spacing w:before="0" w:beforeAutospacing="0" w:after="0" w:afterAutospacing="0"/>
              <w:ind w:left="0" w:right="0" w:firstLine="420"/>
              <w:rPr>
                <w:rFonts w:hint="default" w:cs="Times New Roman"/>
                <w:kern w:val="2"/>
                <w:sz w:val="21"/>
                <w:szCs w:val="21"/>
              </w:rPr>
            </w:pPr>
            <w:r>
              <w:rPr>
                <w:rFonts w:hint="default" w:cs="Times New Roman"/>
                <w:sz w:val="21"/>
                <w:szCs w:val="21"/>
              </w:rPr>
              <w:t>达到</w:t>
            </w:r>
            <w:r>
              <w:rPr>
                <w:rFonts w:hint="eastAsia" w:cs="Times New Roman"/>
                <w:sz w:val="21"/>
                <w:szCs w:val="21"/>
              </w:rPr>
              <w:t>污水处理厂接纳标准后</w:t>
            </w:r>
            <w:r>
              <w:rPr>
                <w:rFonts w:hint="default" w:cs="Times New Roman"/>
                <w:sz w:val="21"/>
                <w:szCs w:val="21"/>
              </w:rPr>
              <w:t>经片区污水管网进入污水处理厂</w:t>
            </w:r>
            <w:r>
              <w:rPr>
                <w:rFonts w:hint="eastAsia" w:cs="Times New Roman"/>
                <w:sz w:val="21"/>
                <w:szCs w:val="21"/>
              </w:rPr>
              <w:t>。</w:t>
            </w:r>
          </w:p>
          <w:p>
            <w:pPr>
              <w:keepNext w:val="0"/>
              <w:keepLines w:val="0"/>
              <w:widowControl/>
              <w:suppressLineNumbers w:val="0"/>
              <w:spacing w:before="0" w:beforeAutospacing="0" w:after="0" w:afterAutospacing="0"/>
              <w:ind w:left="0" w:right="0" w:firstLine="420"/>
              <w:rPr>
                <w:rFonts w:hint="default" w:cs="Times New Roman"/>
                <w:b/>
                <w:bCs/>
                <w:kern w:val="2"/>
                <w:sz w:val="21"/>
                <w:szCs w:val="21"/>
              </w:rPr>
            </w:pPr>
            <w:r>
              <w:rPr>
                <w:rFonts w:hint="eastAsia" w:cs="Times New Roman"/>
                <w:b/>
                <w:bCs/>
                <w:kern w:val="2"/>
                <w:sz w:val="21"/>
                <w:szCs w:val="21"/>
              </w:rPr>
              <w:t>3、喷砂水浴池废水</w:t>
            </w:r>
          </w:p>
          <w:p>
            <w:pPr>
              <w:keepNext w:val="0"/>
              <w:keepLines w:val="0"/>
              <w:widowControl/>
              <w:suppressLineNumbers w:val="0"/>
              <w:spacing w:before="0" w:beforeAutospacing="0" w:after="0" w:afterAutospacing="0"/>
              <w:ind w:left="0" w:right="0" w:firstLine="420"/>
              <w:rPr>
                <w:rFonts w:hint="default" w:cs="Times New Roman"/>
                <w:kern w:val="2"/>
                <w:sz w:val="21"/>
                <w:szCs w:val="21"/>
              </w:rPr>
            </w:pPr>
            <w:r>
              <w:rPr>
                <w:rFonts w:hint="eastAsia" w:cs="Times New Roman"/>
                <w:kern w:val="2"/>
                <w:sz w:val="21"/>
                <w:szCs w:val="21"/>
              </w:rPr>
              <w:t>水浴池中的水量为2m³，有一定的蒸发损耗，按需补充水量，不排放至环境中。</w:t>
            </w:r>
          </w:p>
          <w:p>
            <w:pPr>
              <w:pStyle w:val="49"/>
              <w:keepNext w:val="0"/>
              <w:keepLines w:val="0"/>
              <w:widowControl/>
              <w:suppressLineNumbers w:val="0"/>
              <w:spacing w:before="0" w:beforeAutospacing="0" w:after="0" w:afterAutospacing="0"/>
              <w:ind w:left="0" w:right="0" w:firstLine="420"/>
              <w:rPr>
                <w:rFonts w:hint="default"/>
              </w:rPr>
            </w:pPr>
            <w:r>
              <w:rPr>
                <w:rFonts w:hint="eastAsia"/>
                <w:color w:val="auto"/>
                <w:sz w:val="21"/>
                <w:szCs w:val="21"/>
              </w:rPr>
              <w:t>表4</w:t>
            </w:r>
            <w:r>
              <w:rPr>
                <w:rFonts w:hint="eastAsia"/>
                <w:color w:val="auto"/>
                <w:sz w:val="21"/>
                <w:szCs w:val="21"/>
                <w:lang w:val="en-US" w:eastAsia="zh-CN"/>
              </w:rPr>
              <w:t xml:space="preserve">-6  </w:t>
            </w:r>
            <w:r>
              <w:rPr>
                <w:rFonts w:hint="eastAsia"/>
                <w:color w:val="auto"/>
                <w:sz w:val="21"/>
                <w:szCs w:val="21"/>
              </w:rPr>
              <w:t>废水排放基本情况一览表</w:t>
            </w:r>
          </w:p>
          <w:tbl>
            <w:tblPr>
              <w:tblStyle w:val="25"/>
              <w:tblW w:w="82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9"/>
              <w:gridCol w:w="1857"/>
              <w:gridCol w:w="3298"/>
              <w:gridCol w:w="22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29" w:type="dxa"/>
                  <w:vMerge w:val="restart"/>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排放口名称</w:t>
                  </w:r>
                </w:p>
              </w:tc>
              <w:tc>
                <w:tcPr>
                  <w:tcW w:w="1857" w:type="dxa"/>
                  <w:vMerge w:val="restart"/>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排放去向</w:t>
                  </w:r>
                </w:p>
              </w:tc>
              <w:tc>
                <w:tcPr>
                  <w:tcW w:w="3298" w:type="dxa"/>
                  <w:vMerge w:val="restart"/>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排放规律</w:t>
                  </w:r>
                </w:p>
              </w:tc>
              <w:tc>
                <w:tcPr>
                  <w:tcW w:w="2270" w:type="dxa"/>
                  <w:vMerge w:val="restart"/>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829" w:type="dxa"/>
                  <w:vMerge w:val="continue"/>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p>
              </w:tc>
              <w:tc>
                <w:tcPr>
                  <w:tcW w:w="1857" w:type="dxa"/>
                  <w:vMerge w:val="continue"/>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p>
              </w:tc>
              <w:tc>
                <w:tcPr>
                  <w:tcW w:w="3298" w:type="dxa"/>
                  <w:vMerge w:val="continue"/>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p>
              </w:tc>
              <w:tc>
                <w:tcPr>
                  <w:tcW w:w="2270" w:type="dxa"/>
                  <w:vMerge w:val="continue"/>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5" w:hRule="atLeast"/>
              </w:trPr>
              <w:tc>
                <w:tcPr>
                  <w:tcW w:w="829" w:type="dxa"/>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废水排放口</w:t>
                  </w:r>
                </w:p>
              </w:tc>
              <w:tc>
                <w:tcPr>
                  <w:tcW w:w="1857" w:type="dxa"/>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通过园区污水管网进入污水处理厂</w:t>
                  </w:r>
                </w:p>
              </w:tc>
              <w:tc>
                <w:tcPr>
                  <w:tcW w:w="3298" w:type="dxa"/>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间断排放，排放期间流量不稳定且无规律，但不属于冲击型排放</w:t>
                  </w:r>
                </w:p>
              </w:tc>
              <w:tc>
                <w:tcPr>
                  <w:tcW w:w="2270" w:type="dxa"/>
                  <w:shd w:val="clear" w:color="auto" w:fill="auto"/>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一般排放口，排放生活废水及水压试验水</w:t>
                  </w:r>
                </w:p>
              </w:tc>
            </w:tr>
          </w:tbl>
          <w:p>
            <w:pPr>
              <w:keepNext w:val="0"/>
              <w:keepLines w:val="0"/>
              <w:widowControl/>
              <w:suppressLineNumbers w:val="0"/>
              <w:tabs>
                <w:tab w:val="left" w:pos="4781"/>
              </w:tabs>
              <w:spacing w:before="0" w:beforeAutospacing="0" w:after="0" w:afterAutospacing="0"/>
              <w:ind w:left="0" w:right="0" w:firstLine="422"/>
              <w:textAlignment w:val="center"/>
              <w:rPr>
                <w:rFonts w:hint="eastAsia" w:cs="Times New Roman"/>
                <w:sz w:val="21"/>
                <w:szCs w:val="21"/>
              </w:rPr>
            </w:pPr>
            <w:r>
              <w:rPr>
                <w:rFonts w:hint="eastAsia" w:cs="Times New Roman"/>
                <w:sz w:val="21"/>
                <w:szCs w:val="21"/>
                <w:lang w:eastAsia="zh-CN"/>
              </w:rPr>
              <w:t>本项目</w:t>
            </w:r>
            <w:r>
              <w:rPr>
                <w:rFonts w:hint="default" w:cs="Times New Roman"/>
                <w:sz w:val="21"/>
                <w:szCs w:val="21"/>
              </w:rPr>
              <w:t>生活污水经化粪池处理达到</w:t>
            </w:r>
            <w:r>
              <w:rPr>
                <w:rFonts w:hint="eastAsia" w:cs="Times New Roman"/>
                <w:sz w:val="21"/>
                <w:szCs w:val="21"/>
              </w:rPr>
              <w:t>污水处理厂接纳标准后</w:t>
            </w:r>
            <w:r>
              <w:rPr>
                <w:rFonts w:hint="default" w:cs="Times New Roman"/>
                <w:sz w:val="21"/>
                <w:szCs w:val="21"/>
              </w:rPr>
              <w:t>经片区污水管网进入污水处理厂</w:t>
            </w:r>
            <w:r>
              <w:rPr>
                <w:rFonts w:hint="eastAsia" w:cs="Times New Roman"/>
                <w:sz w:val="21"/>
                <w:szCs w:val="21"/>
                <w:lang w:eastAsia="zh-CN"/>
              </w:rPr>
              <w:t>，</w:t>
            </w:r>
            <w:r>
              <w:rPr>
                <w:rFonts w:hint="eastAsia"/>
                <w:sz w:val="21"/>
                <w:szCs w:val="21"/>
              </w:rPr>
              <w:t>水压试验废水</w:t>
            </w:r>
            <w:r>
              <w:rPr>
                <w:rFonts w:hint="default" w:cs="Times New Roman"/>
                <w:sz w:val="21"/>
                <w:szCs w:val="21"/>
              </w:rPr>
              <w:t>达到</w:t>
            </w:r>
            <w:r>
              <w:rPr>
                <w:rFonts w:hint="eastAsia" w:cs="Times New Roman"/>
                <w:sz w:val="21"/>
                <w:szCs w:val="21"/>
              </w:rPr>
              <w:t>污水处理厂接纳标准后</w:t>
            </w:r>
            <w:r>
              <w:rPr>
                <w:rFonts w:hint="default" w:cs="Times New Roman"/>
                <w:sz w:val="21"/>
                <w:szCs w:val="21"/>
              </w:rPr>
              <w:t>经片区污水管网进入污水处理厂</w:t>
            </w:r>
            <w:r>
              <w:rPr>
                <w:rFonts w:hint="eastAsia" w:cs="Times New Roman"/>
                <w:sz w:val="21"/>
                <w:szCs w:val="21"/>
              </w:rPr>
              <w:t>。</w:t>
            </w:r>
          </w:p>
          <w:p>
            <w:pPr>
              <w:keepNext w:val="0"/>
              <w:keepLines w:val="0"/>
              <w:widowControl/>
              <w:suppressLineNumbers w:val="0"/>
              <w:spacing w:before="0" w:beforeAutospacing="0" w:after="0" w:afterAutospacing="0"/>
              <w:ind w:left="0" w:right="0" w:firstLine="482"/>
              <w:rPr>
                <w:rFonts w:hint="default" w:cs="Times New Roman"/>
                <w:b/>
                <w:bCs/>
                <w:kern w:val="2"/>
                <w:sz w:val="21"/>
                <w:szCs w:val="21"/>
                <w:lang w:bidi="ar"/>
              </w:rPr>
            </w:pPr>
            <w:r>
              <w:rPr>
                <w:rFonts w:hint="eastAsia" w:cs="Times New Roman"/>
                <w:b/>
                <w:bCs/>
                <w:kern w:val="2"/>
                <w:sz w:val="21"/>
                <w:szCs w:val="21"/>
                <w:lang w:bidi="ar"/>
              </w:rPr>
              <w:t>地表水评价等级</w:t>
            </w:r>
          </w:p>
          <w:p>
            <w:pPr>
              <w:keepNext w:val="0"/>
              <w:keepLines w:val="0"/>
              <w:widowControl/>
              <w:suppressLineNumbers w:val="0"/>
              <w:spacing w:before="0" w:beforeAutospacing="0" w:after="0" w:afterAutospacing="0"/>
              <w:ind w:left="0" w:right="0" w:firstLine="480"/>
              <w:rPr>
                <w:rFonts w:hint="default"/>
                <w:sz w:val="21"/>
                <w:szCs w:val="21"/>
              </w:rPr>
            </w:pPr>
            <w:r>
              <w:rPr>
                <w:rFonts w:hint="eastAsia"/>
                <w:sz w:val="21"/>
                <w:szCs w:val="21"/>
              </w:rPr>
              <w:t>根据《环境影响评价技术导则 地表水环境》（HJ 2.3—2018）中的“表1 水污染影响型建设项目评价等级判定”可知，本项目地表水评价等级为三级B。</w:t>
            </w:r>
          </w:p>
          <w:p>
            <w:pPr>
              <w:keepNext w:val="0"/>
              <w:keepLines w:val="0"/>
              <w:widowControl/>
              <w:suppressLineNumbers w:val="0"/>
              <w:spacing w:before="0" w:beforeAutospacing="0" w:after="0" w:afterAutospacing="0"/>
              <w:ind w:left="0" w:right="0" w:firstLine="0" w:firstLineChars="0"/>
              <w:rPr>
                <w:rFonts w:hint="default"/>
              </w:rPr>
            </w:pPr>
            <w:r>
              <w:rPr>
                <w:rFonts w:hint="default"/>
              </w:rPr>
              <w:drawing>
                <wp:inline distT="0" distB="0" distL="114300" distR="114300">
                  <wp:extent cx="5118735" cy="2875915"/>
                  <wp:effectExtent l="0" t="0" r="5715" b="635"/>
                  <wp:docPr id="18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22"/>
                          <pic:cNvPicPr>
                            <a:picLocks noChangeAspect="1"/>
                          </pic:cNvPicPr>
                        </pic:nvPicPr>
                        <pic:blipFill>
                          <a:blip r:embed="rId29" cstate="print"/>
                          <a:stretch>
                            <a:fillRect/>
                          </a:stretch>
                        </pic:blipFill>
                        <pic:spPr>
                          <a:xfrm>
                            <a:off x="0" y="0"/>
                            <a:ext cx="5118735" cy="2875915"/>
                          </a:xfrm>
                          <a:prstGeom prst="rect">
                            <a:avLst/>
                          </a:prstGeom>
                          <a:noFill/>
                          <a:ln>
                            <a:noFill/>
                          </a:ln>
                        </pic:spPr>
                      </pic:pic>
                    </a:graphicData>
                  </a:graphic>
                </wp:inline>
              </w:drawing>
            </w:r>
            <w:r>
              <w:rPr>
                <w:rFonts w:hint="default"/>
              </w:rPr>
              <w:drawing>
                <wp:inline distT="0" distB="0" distL="114300" distR="114300">
                  <wp:extent cx="5088255" cy="2294890"/>
                  <wp:effectExtent l="0" t="0" r="17145" b="10160"/>
                  <wp:docPr id="18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24"/>
                          <pic:cNvPicPr>
                            <a:picLocks noChangeAspect="1"/>
                          </pic:cNvPicPr>
                        </pic:nvPicPr>
                        <pic:blipFill>
                          <a:blip r:embed="rId30" cstate="print"/>
                          <a:srcRect t="22624"/>
                          <a:stretch>
                            <a:fillRect/>
                          </a:stretch>
                        </pic:blipFill>
                        <pic:spPr>
                          <a:xfrm>
                            <a:off x="0" y="0"/>
                            <a:ext cx="5088255" cy="2294890"/>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firstLine="480"/>
              <w:rPr>
                <w:rFonts w:hint="default"/>
                <w:sz w:val="21"/>
                <w:szCs w:val="21"/>
              </w:rPr>
            </w:pPr>
            <w:r>
              <w:rPr>
                <w:rFonts w:hint="default"/>
                <w:sz w:val="21"/>
                <w:szCs w:val="21"/>
              </w:rPr>
              <w:t>根据导则要求无需进行进一步预测与评价，主要对废水依托污水处理厂可行性进行分析，并对污染物排放量进行核算。</w:t>
            </w:r>
          </w:p>
          <w:p>
            <w:pPr>
              <w:pStyle w:val="10"/>
              <w:widowControl/>
              <w:suppressLineNumbers w:val="0"/>
              <w:spacing w:beforeAutospacing="0" w:after="0" w:afterAutospacing="0"/>
              <w:ind w:left="0" w:right="0" w:firstLine="480"/>
              <w:rPr>
                <w:rFonts w:hint="default"/>
                <w:sz w:val="21"/>
                <w:szCs w:val="21"/>
              </w:rPr>
            </w:pPr>
            <w:bookmarkStart w:id="16" w:name="_Toc5830"/>
            <w:bookmarkStart w:id="17" w:name="_Toc1806"/>
            <w:bookmarkStart w:id="18" w:name="_Toc3085"/>
            <w:bookmarkStart w:id="19" w:name="_Toc11244"/>
            <w:bookmarkStart w:id="20" w:name="_Toc10166"/>
            <w:bookmarkStart w:id="21" w:name="_Toc31176"/>
            <w:r>
              <w:rPr>
                <w:rFonts w:hint="eastAsia"/>
                <w:sz w:val="21"/>
                <w:szCs w:val="21"/>
              </w:rPr>
              <w:t>评价时期确定</w:t>
            </w:r>
            <w:bookmarkEnd w:id="16"/>
            <w:bookmarkEnd w:id="17"/>
            <w:bookmarkEnd w:id="18"/>
            <w:bookmarkEnd w:id="19"/>
            <w:bookmarkEnd w:id="20"/>
            <w:bookmarkEnd w:id="21"/>
          </w:p>
          <w:p>
            <w:pPr>
              <w:keepNext w:val="0"/>
              <w:keepLines w:val="0"/>
              <w:widowControl/>
              <w:suppressLineNumbers w:val="0"/>
              <w:bidi w:val="0"/>
              <w:spacing w:before="0" w:beforeAutospacing="0" w:after="0" w:afterAutospacing="0"/>
              <w:ind w:left="0" w:right="0"/>
              <w:rPr>
                <w:rFonts w:hint="eastAsia"/>
                <w:sz w:val="21"/>
                <w:szCs w:val="21"/>
                <w:lang w:eastAsia="zh-CN"/>
              </w:rPr>
            </w:pPr>
            <w:r>
              <w:rPr>
                <w:rFonts w:hint="eastAsia"/>
                <w:sz w:val="21"/>
                <w:szCs w:val="21"/>
              </w:rPr>
              <w:t>根据《环境影响评价技术导则 地表水环境》（HJ 2.3—2018）中的要求，三级 B 评价，可不考虑评价时期。</w:t>
            </w:r>
          </w:p>
          <w:p>
            <w:pPr>
              <w:keepNext w:val="0"/>
              <w:keepLines w:val="0"/>
              <w:widowControl/>
              <w:suppressLineNumbers w:val="0"/>
              <w:tabs>
                <w:tab w:val="left" w:pos="4781"/>
              </w:tabs>
              <w:spacing w:before="0" w:beforeAutospacing="0" w:after="0" w:afterAutospacing="0"/>
              <w:ind w:left="0" w:right="0" w:firstLine="422"/>
              <w:textAlignment w:val="center"/>
              <w:rPr>
                <w:rFonts w:hint="default" w:eastAsia="Times New Roman" w:cs="Times New Roman"/>
                <w:b/>
                <w:sz w:val="21"/>
                <w:szCs w:val="21"/>
              </w:rPr>
            </w:pPr>
            <w:r>
              <w:rPr>
                <w:rFonts w:hint="default" w:eastAsia="Times New Roman" w:cs="Times New Roman"/>
                <w:b/>
                <w:sz w:val="21"/>
                <w:szCs w:val="21"/>
              </w:rPr>
              <w:t>4.2.3</w:t>
            </w:r>
            <w:r>
              <w:rPr>
                <w:rFonts w:hint="default" w:cs="Times New Roman"/>
                <w:b/>
                <w:sz w:val="21"/>
                <w:szCs w:val="21"/>
              </w:rPr>
              <w:t>营运期声环境影响分析</w:t>
            </w:r>
          </w:p>
          <w:p>
            <w:pPr>
              <w:keepNext w:val="0"/>
              <w:keepLines w:val="0"/>
              <w:widowControl w:val="0"/>
              <w:suppressLineNumbers w:val="0"/>
              <w:spacing w:before="0" w:beforeAutospacing="0" w:after="0" w:afterAutospacing="0"/>
              <w:ind w:left="0" w:right="0" w:firstLine="420"/>
              <w:jc w:val="both"/>
              <w:rPr>
                <w:rFonts w:hint="default" w:cs="Times New Roman"/>
                <w:kern w:val="2"/>
                <w:sz w:val="21"/>
                <w:szCs w:val="21"/>
              </w:rPr>
            </w:pPr>
            <w:r>
              <w:rPr>
                <w:rFonts w:hint="default" w:cs="Times New Roman"/>
                <w:bCs/>
                <w:iCs/>
                <w:kern w:val="2"/>
                <w:sz w:val="21"/>
                <w:szCs w:val="21"/>
              </w:rPr>
              <w:t>项目主要噪声设备声压级见下表。</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-7</w:t>
            </w:r>
            <w:r>
              <w:rPr>
                <w:rFonts w:hint="default"/>
                <w:color w:val="auto"/>
                <w:sz w:val="21"/>
                <w:szCs w:val="21"/>
              </w:rPr>
              <w:t xml:space="preserve">  主要高噪声设备噪声声压级  单位：dB(A)</w:t>
            </w:r>
          </w:p>
          <w:tbl>
            <w:tblPr>
              <w:tblStyle w:val="25"/>
              <w:tblW w:w="8457" w:type="dxa"/>
              <w:tblInd w:w="-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
              <w:gridCol w:w="1301"/>
              <w:gridCol w:w="810"/>
              <w:gridCol w:w="2"/>
              <w:gridCol w:w="1055"/>
              <w:gridCol w:w="2"/>
              <w:gridCol w:w="1055"/>
              <w:gridCol w:w="2"/>
              <w:gridCol w:w="1055"/>
              <w:gridCol w:w="2"/>
              <w:gridCol w:w="1057"/>
              <w:gridCol w:w="1057"/>
              <w:gridCol w:w="1055"/>
              <w:gridCol w:w="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gridBefore w:val="1"/>
                <w:wBefore w:w="2" w:type="dxa"/>
                <w:trHeight w:val="964" w:hRule="atLeast"/>
              </w:trPr>
              <w:tc>
                <w:tcPr>
                  <w:tcW w:w="1301"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噪声源</w:t>
                  </w:r>
                </w:p>
              </w:tc>
              <w:tc>
                <w:tcPr>
                  <w:tcW w:w="812"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数量</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声源类型（频发、偶发等）</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噪声源强</w:t>
                  </w:r>
                  <w:r>
                    <w:rPr>
                      <w:rFonts w:hint="eastAsia"/>
                      <w:szCs w:val="21"/>
                    </w:rPr>
                    <w:t>（</w:t>
                  </w:r>
                  <w:r>
                    <w:rPr>
                      <w:rFonts w:hint="default"/>
                      <w:szCs w:val="21"/>
                    </w:rPr>
                    <w:t>dB</w:t>
                  </w:r>
                  <w:r>
                    <w:rPr>
                      <w:rFonts w:hint="eastAsia"/>
                      <w:szCs w:val="21"/>
                    </w:rPr>
                    <w:t>）</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降噪措施</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降噪效果</w:t>
                  </w:r>
                  <w:r>
                    <w:rPr>
                      <w:rFonts w:hint="eastAsia"/>
                      <w:szCs w:val="21"/>
                    </w:rPr>
                    <w:t>（</w:t>
                  </w:r>
                  <w:r>
                    <w:rPr>
                      <w:rFonts w:hint="default"/>
                      <w:szCs w:val="21"/>
                    </w:rPr>
                    <w:t>dB</w:t>
                  </w:r>
                  <w:r>
                    <w:rPr>
                      <w:rFonts w:hint="eastAsia"/>
                      <w:szCs w:val="21"/>
                    </w:rPr>
                    <w:t>）</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噪声排放值</w:t>
                  </w:r>
                  <w:r>
                    <w:rPr>
                      <w:rFonts w:hint="eastAsia"/>
                      <w:szCs w:val="21"/>
                    </w:rPr>
                    <w:t>（</w:t>
                  </w:r>
                  <w:r>
                    <w:rPr>
                      <w:rFonts w:hint="default"/>
                      <w:szCs w:val="21"/>
                    </w:rPr>
                    <w:t>dB</w:t>
                  </w:r>
                  <w:r>
                    <w:rPr>
                      <w:rFonts w:hint="eastAsia"/>
                      <w:szCs w:val="21"/>
                    </w:rPr>
                    <w:t>）</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持续时间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486"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火焰切割机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4</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75~85</w:t>
                  </w:r>
                </w:p>
              </w:tc>
              <w:tc>
                <w:tcPr>
                  <w:tcW w:w="1057" w:type="dxa"/>
                  <w:gridSpan w:val="2"/>
                  <w:vMerge w:val="restart"/>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减振、隔声</w:t>
                  </w: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55</w:t>
                  </w:r>
                </w:p>
              </w:tc>
              <w:tc>
                <w:tcPr>
                  <w:tcW w:w="1055" w:type="dxa"/>
                  <w:vMerge w:val="restart"/>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8h/d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带锯机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坡口机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4</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直流焊机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486"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气体保护焊机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自动焊</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6</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空压机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75~85</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55</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钻床</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264"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铣床</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1</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70~80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50</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1602" w:hRule="atLeast"/>
              </w:trPr>
              <w:tc>
                <w:tcPr>
                  <w:tcW w:w="1303"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u w:val="single"/>
                      <w:lang w:val="en-US" w:eastAsia="zh-CN"/>
                    </w:rPr>
                    <w:t>原辅材料、产品装卸、运输、厂内转运过程的噪声源强</w:t>
                  </w:r>
                </w:p>
              </w:tc>
              <w:tc>
                <w:tcPr>
                  <w:tcW w:w="810"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频发</w:t>
                  </w:r>
                </w:p>
              </w:tc>
              <w:tc>
                <w:tcPr>
                  <w:tcW w:w="1057"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75~80</w:t>
                  </w:r>
                </w:p>
              </w:tc>
              <w:tc>
                <w:tcPr>
                  <w:tcW w:w="1057" w:type="dxa"/>
                  <w:gridSpan w:val="2"/>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c>
                <w:tcPr>
                  <w:tcW w:w="1059" w:type="dxa"/>
                  <w:gridSpan w:val="2"/>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rPr>
                  </w:pPr>
                  <w:r>
                    <w:rPr>
                      <w:rFonts w:hint="default"/>
                      <w:lang w:val="en-US" w:eastAsia="zh-CN"/>
                    </w:rPr>
                    <w:t>20~30</w:t>
                  </w:r>
                </w:p>
              </w:tc>
              <w:tc>
                <w:tcPr>
                  <w:tcW w:w="1057"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lang w:val="en-US" w:eastAsia="zh-CN"/>
                    </w:rPr>
                    <w:t>55</w:t>
                  </w:r>
                </w:p>
              </w:tc>
              <w:tc>
                <w:tcPr>
                  <w:tcW w:w="1055"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rPr>
                  </w:pPr>
                </w:p>
              </w:tc>
            </w:tr>
          </w:tbl>
          <w:p>
            <w:pPr>
              <w:pStyle w:val="49"/>
              <w:keepNext w:val="0"/>
              <w:keepLines w:val="0"/>
              <w:widowControl/>
              <w:suppressLineNumbers w:val="0"/>
              <w:spacing w:before="0" w:beforeAutospacing="0" w:after="0" w:afterAutospacing="0"/>
              <w:ind w:left="0" w:right="0"/>
              <w:rPr>
                <w:rFonts w:hint="default"/>
                <w:color w:val="auto"/>
                <w:sz w:val="21"/>
                <w:szCs w:val="21"/>
              </w:rPr>
            </w:pPr>
          </w:p>
          <w:p>
            <w:pPr>
              <w:keepNext w:val="0"/>
              <w:keepLines w:val="0"/>
              <w:widowControl w:val="0"/>
              <w:suppressLineNumbers w:val="0"/>
              <w:spacing w:before="0" w:beforeAutospacing="0" w:after="0" w:afterAutospacing="0"/>
              <w:ind w:left="0" w:right="0" w:firstLine="420"/>
              <w:jc w:val="both"/>
              <w:rPr>
                <w:rFonts w:hint="default" w:cs="Times New Roman"/>
                <w:bCs/>
                <w:kern w:val="2"/>
                <w:sz w:val="21"/>
                <w:szCs w:val="21"/>
              </w:rPr>
            </w:pPr>
            <w:r>
              <w:rPr>
                <w:rFonts w:hint="eastAsia" w:cs="Times New Roman"/>
                <w:sz w:val="21"/>
                <w:szCs w:val="21"/>
                <w:u w:val="single"/>
              </w:rPr>
              <w:t>本项目夜间不生产，</w:t>
            </w:r>
            <w:r>
              <w:rPr>
                <w:rFonts w:hint="default" w:cs="Times New Roman"/>
                <w:sz w:val="21"/>
                <w:szCs w:val="21"/>
                <w:u w:val="single"/>
              </w:rPr>
              <w:t>为了进一步降低生产过程中产生的噪声，建议建设单位采取如下治理措施：</w:t>
            </w:r>
          </w:p>
          <w:p>
            <w:pPr>
              <w:keepNext w:val="0"/>
              <w:keepLines w:val="0"/>
              <w:widowControl/>
              <w:suppressLineNumbers w:val="0"/>
              <w:spacing w:before="0" w:beforeAutospacing="0" w:after="0" w:afterAutospacing="0"/>
              <w:ind w:left="0" w:right="0" w:firstLine="420"/>
              <w:rPr>
                <w:rFonts w:hint="eastAsia" w:eastAsia="宋体" w:cs="Times New Roman"/>
                <w:sz w:val="21"/>
                <w:szCs w:val="21"/>
                <w:u w:val="single"/>
                <w:lang w:val="en-US" w:eastAsia="zh-CN"/>
              </w:rPr>
            </w:pPr>
            <w:r>
              <w:rPr>
                <w:rFonts w:hint="eastAsia" w:ascii="宋体" w:hAnsi="宋体" w:cs="宋体"/>
                <w:sz w:val="21"/>
                <w:szCs w:val="21"/>
                <w:u w:val="single"/>
              </w:rPr>
              <w:t>①</w:t>
            </w:r>
            <w:r>
              <w:rPr>
                <w:rFonts w:hint="default" w:cs="Times New Roman"/>
                <w:sz w:val="21"/>
                <w:szCs w:val="21"/>
                <w:u w:val="single"/>
              </w:rPr>
              <w:t>尽量选用低噪声设备，做好设备保养，保持设备运行良好</w:t>
            </w:r>
            <w:r>
              <w:rPr>
                <w:rFonts w:hint="eastAsia" w:cs="Times New Roman"/>
                <w:sz w:val="21"/>
                <w:szCs w:val="21"/>
                <w:u w:val="single"/>
                <w:lang w:eastAsia="zh-CN"/>
              </w:rPr>
              <w:t>。</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eastAsia" w:ascii="宋体" w:hAnsi="宋体" w:cs="宋体"/>
                <w:sz w:val="21"/>
                <w:szCs w:val="21"/>
                <w:u w:val="single"/>
              </w:rPr>
              <w:t>②</w:t>
            </w:r>
            <w:r>
              <w:rPr>
                <w:rFonts w:hint="default" w:cs="Times New Roman"/>
                <w:sz w:val="21"/>
                <w:szCs w:val="21"/>
                <w:u w:val="single"/>
              </w:rPr>
              <w:t>加强车辆进出管理，确保交通通畅和安静，停车位附近设置禁鸣标志，缩短怠速行驶时间，以减少对周围环境的影响。</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eastAsia" w:ascii="宋体" w:hAnsi="宋体" w:cs="宋体"/>
                <w:sz w:val="21"/>
                <w:szCs w:val="21"/>
                <w:u w:val="single"/>
              </w:rPr>
              <w:t>③</w:t>
            </w:r>
            <w:r>
              <w:rPr>
                <w:rFonts w:hint="default" w:cs="Times New Roman"/>
                <w:sz w:val="21"/>
                <w:szCs w:val="21"/>
                <w:u w:val="single"/>
              </w:rPr>
              <w:t>做好厂区内和沿厂界的绿化带建设。</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eastAsia" w:cs="Times New Roman"/>
                <w:sz w:val="21"/>
                <w:szCs w:val="21"/>
                <w:u w:val="single"/>
              </w:rPr>
              <w:t>④</w:t>
            </w:r>
            <w:r>
              <w:rPr>
                <w:rFonts w:hint="eastAsia" w:cs="Times New Roman"/>
                <w:sz w:val="21"/>
                <w:szCs w:val="21"/>
                <w:u w:val="single"/>
                <w:lang w:eastAsia="zh-CN"/>
              </w:rPr>
              <w:t>设备</w:t>
            </w:r>
            <w:r>
              <w:rPr>
                <w:rFonts w:hint="default" w:cs="Times New Roman"/>
                <w:sz w:val="21"/>
                <w:szCs w:val="21"/>
                <w:u w:val="single"/>
              </w:rPr>
              <w:t>合理布局。</w:t>
            </w:r>
          </w:p>
          <w:p>
            <w:pPr>
              <w:pStyle w:val="15"/>
              <w:keepNext w:val="0"/>
              <w:keepLines w:val="0"/>
              <w:widowControl/>
              <w:suppressLineNumbers w:val="0"/>
              <w:spacing w:before="0" w:beforeAutospacing="0" w:afterAutospacing="0"/>
              <w:ind w:left="0" w:right="0"/>
              <w:rPr>
                <w:rFonts w:hint="eastAsia" w:eastAsia="宋体"/>
                <w:lang w:eastAsia="zh-CN"/>
              </w:rPr>
            </w:pPr>
            <w:r>
              <w:rPr>
                <w:rFonts w:hint="eastAsia" w:cs="Times New Roman"/>
                <w:sz w:val="21"/>
                <w:szCs w:val="21"/>
                <w:u w:val="single"/>
                <w:lang w:eastAsia="zh-CN"/>
              </w:rPr>
              <w:t>⑤</w:t>
            </w:r>
            <w:r>
              <w:rPr>
                <w:rFonts w:hint="default" w:cs="Times New Roman"/>
                <w:sz w:val="21"/>
                <w:szCs w:val="21"/>
                <w:u w:val="single"/>
              </w:rPr>
              <w:t>落实高噪声设备的减振、隔声、消声措施</w:t>
            </w:r>
            <w:r>
              <w:rPr>
                <w:rFonts w:hint="eastAsia" w:cs="Times New Roman"/>
                <w:sz w:val="21"/>
                <w:szCs w:val="21"/>
                <w:u w:val="single"/>
                <w:lang w:eastAsia="zh-CN"/>
              </w:rPr>
              <w:t>。</w:t>
            </w:r>
          </w:p>
          <w:p>
            <w:pPr>
              <w:pStyle w:val="69"/>
              <w:widowControl/>
              <w:adjustRightInd w:val="0"/>
              <w:snapToGrid w:val="0"/>
              <w:spacing w:before="240" w:beforeLines="100" w:beforeAutospacing="0" w:line="360" w:lineRule="auto"/>
              <w:ind w:left="0" w:firstLine="422"/>
              <w:rPr>
                <w:b/>
                <w:bCs/>
                <w:color w:val="000000"/>
                <w:lang w:val="en-US"/>
              </w:rPr>
            </w:pPr>
            <w:r>
              <w:rPr>
                <w:rFonts w:hint="eastAsia" w:ascii="Times New Roman" w:hAnsi="Times New Roman" w:eastAsia="宋体" w:cs="宋体"/>
                <w:b/>
                <w:bCs/>
                <w:color w:val="000000"/>
                <w:lang w:eastAsia="zh-CN"/>
              </w:rPr>
              <w:t>噪声影响及达标分析</w:t>
            </w:r>
          </w:p>
          <w:p>
            <w:pPr>
              <w:keepNext w:val="0"/>
              <w:keepLines w:val="0"/>
              <w:widowControl/>
              <w:suppressLineNumbers w:val="0"/>
              <w:spacing w:before="0" w:beforeAutospacing="0" w:after="0" w:afterAutospacing="0"/>
              <w:ind w:left="0" w:right="0" w:firstLine="480"/>
              <w:rPr>
                <w:rFonts w:hint="default"/>
                <w:color w:val="auto"/>
                <w:sz w:val="21"/>
                <w:szCs w:val="20"/>
              </w:rPr>
            </w:pPr>
            <w:r>
              <w:rPr>
                <w:rFonts w:hint="default"/>
                <w:color w:val="auto"/>
                <w:sz w:val="21"/>
                <w:szCs w:val="20"/>
              </w:rPr>
              <w:t>预测模式：采用《环境影响评价技术导则—声环境》（HJ2.4-2009）中推荐模式进行预测。</w:t>
            </w:r>
          </w:p>
          <w:p>
            <w:pPr>
              <w:keepNext w:val="0"/>
              <w:keepLines w:val="0"/>
              <w:widowControl w:val="0"/>
              <w:suppressLineNumbers w:val="0"/>
              <w:spacing w:before="120" w:beforeLines="50" w:beforeAutospacing="0" w:after="0" w:afterAutospacing="0" w:line="360" w:lineRule="auto"/>
              <w:ind w:left="0" w:right="0" w:firstLine="480" w:firstLineChars="200"/>
              <w:jc w:val="both"/>
              <w:rPr>
                <w:rFonts w:hint="default"/>
                <w:color w:val="000000"/>
                <w:kern w:val="0"/>
                <w:lang w:val="en-US"/>
              </w:rPr>
            </w:pPr>
            <w:r>
              <w:rPr>
                <w:rFonts w:hint="default"/>
                <w:color w:val="auto"/>
              </w:rPr>
              <w:drawing>
                <wp:inline distT="0" distB="0" distL="0" distR="0">
                  <wp:extent cx="5657850" cy="2428875"/>
                  <wp:effectExtent l="0" t="0" r="0"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31">
                            <a:extLst>
                              <a:ext uri="{28A0092B-C50C-407E-A947-70E740481C1C}">
                                <a14:useLocalDpi xmlns:a14="http://schemas.microsoft.com/office/drawing/2010/main" val="0"/>
                              </a:ext>
                            </a:extLst>
                          </a:blip>
                          <a:srcRect t="6693"/>
                          <a:stretch>
                            <a:fillRect/>
                          </a:stretch>
                        </pic:blipFill>
                        <pic:spPr>
                          <a:xfrm>
                            <a:off x="0" y="0"/>
                            <a:ext cx="5657850" cy="2428875"/>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jc w:val="left"/>
              <w:rPr>
                <w:rFonts w:hint="default"/>
              </w:rPr>
            </w:pPr>
            <w:r>
              <w:rPr>
                <w:rFonts w:hint="eastAsia" w:ascii="Times New Roman" w:hAnsi="Times New Roman" w:eastAsia="宋体" w:cs="Times New Roman"/>
                <w:color w:val="000000"/>
                <w:kern w:val="2"/>
                <w:sz w:val="21"/>
                <w:szCs w:val="24"/>
                <w:lang w:val="en-US" w:eastAsia="zh-CN" w:bidi="ar"/>
              </w:rPr>
              <w:t>根据上述公式，预测结果如下：</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 xml:space="preserve">-8 </w:t>
            </w:r>
            <w:r>
              <w:rPr>
                <w:rFonts w:hint="default"/>
                <w:color w:val="auto"/>
                <w:sz w:val="21"/>
                <w:szCs w:val="21"/>
              </w:rPr>
              <w:t xml:space="preserve"> 厂界噪声预测结果  单位：dB(A)</w:t>
            </w:r>
          </w:p>
          <w:tbl>
            <w:tblPr>
              <w:tblStyle w:val="25"/>
              <w:tblW w:w="7998" w:type="dxa"/>
              <w:tblInd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333"/>
              <w:gridCol w:w="1333"/>
              <w:gridCol w:w="1333"/>
              <w:gridCol w:w="1333"/>
              <w:gridCol w:w="1234"/>
              <w:gridCol w:w="14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188" w:hRule="atLeast"/>
              </w:trPr>
              <w:tc>
                <w:tcPr>
                  <w:tcW w:w="2666"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厂界</w:t>
                  </w:r>
                  <w:r>
                    <w:rPr>
                      <w:rFonts w:hint="default"/>
                      <w:u w:val="single"/>
                      <w:lang w:val="en-US" w:eastAsia="zh-CN"/>
                    </w:rPr>
                    <w:t>贡献值</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厂界最大背景值</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厂界预测值</w:t>
                  </w:r>
                </w:p>
              </w:tc>
              <w:tc>
                <w:tcPr>
                  <w:tcW w:w="1234" w:type="dxa"/>
                  <w:vMerge w:val="restart"/>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3</w:t>
                  </w:r>
                  <w:r>
                    <w:rPr>
                      <w:rFonts w:hint="eastAsia"/>
                      <w:u w:val="single"/>
                      <w:lang w:val="en-US" w:eastAsia="zh-CN"/>
                    </w:rPr>
                    <w:t>类标准</w:t>
                  </w:r>
                </w:p>
              </w:tc>
              <w:tc>
                <w:tcPr>
                  <w:tcW w:w="1432" w:type="dxa"/>
                  <w:shd w:val="clear" w:color="auto" w:fill="auto"/>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本项目噪声贡献值（最近居民点</w:t>
                  </w:r>
                  <w:r>
                    <w:rPr>
                      <w:rFonts w:hint="default"/>
                      <w:u w:val="single"/>
                      <w:lang w:val="en-US" w:eastAsia="zh-CN"/>
                    </w:rPr>
                    <w:t>224.9m</w:t>
                  </w:r>
                  <w:r>
                    <w:rPr>
                      <w:rFonts w:hint="eastAsia"/>
                      <w:u w:val="singl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 w:hRule="atLeast"/>
              </w:trPr>
              <w:tc>
                <w:tcPr>
                  <w:tcW w:w="2666" w:type="dxa"/>
                  <w:gridSpan w:val="2"/>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昼间</w:t>
                  </w:r>
                </w:p>
              </w:tc>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昼间</w:t>
                  </w:r>
                </w:p>
              </w:tc>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昼间</w:t>
                  </w:r>
                </w:p>
              </w:tc>
              <w:tc>
                <w:tcPr>
                  <w:tcW w:w="1234"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u w:val="single"/>
                    </w:rPr>
                  </w:pPr>
                </w:p>
              </w:tc>
              <w:tc>
                <w:tcPr>
                  <w:tcW w:w="1432"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昼间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trPr>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东</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50.24</w:t>
                  </w:r>
                </w:p>
              </w:tc>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51.1</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53.7</w:t>
                  </w:r>
                </w:p>
              </w:tc>
              <w:tc>
                <w:tcPr>
                  <w:tcW w:w="1234" w:type="dxa"/>
                  <w:vMerge w:val="restart"/>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昼间65，夜间55</w:t>
                  </w:r>
                </w:p>
              </w:tc>
              <w:tc>
                <w:tcPr>
                  <w:tcW w:w="1432"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13.68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trPr>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南</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50.31</w:t>
                  </w:r>
                </w:p>
              </w:tc>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55.1</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56.34</w:t>
                  </w:r>
                </w:p>
              </w:tc>
              <w:tc>
                <w:tcPr>
                  <w:tcW w:w="1234"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p>
              </w:tc>
              <w:tc>
                <w:tcPr>
                  <w:tcW w:w="1432"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12.85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trPr>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西</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51.12</w:t>
                  </w:r>
                </w:p>
              </w:tc>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52.2</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54.7</w:t>
                  </w:r>
                </w:p>
              </w:tc>
              <w:tc>
                <w:tcPr>
                  <w:tcW w:w="1234"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p>
              </w:tc>
              <w:tc>
                <w:tcPr>
                  <w:tcW w:w="1432"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16.34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北</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50.21</w:t>
                  </w:r>
                </w:p>
              </w:tc>
              <w:tc>
                <w:tcPr>
                  <w:tcW w:w="1333"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52.8</w:t>
                  </w:r>
                </w:p>
              </w:tc>
              <w:tc>
                <w:tcPr>
                  <w:tcW w:w="1333" w:type="dxa"/>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r>
                    <w:rPr>
                      <w:rFonts w:hint="eastAsia"/>
                      <w:u w:val="single"/>
                      <w:lang w:val="en-US" w:eastAsia="zh-CN"/>
                    </w:rPr>
                    <w:t>54.71</w:t>
                  </w:r>
                </w:p>
              </w:tc>
              <w:tc>
                <w:tcPr>
                  <w:tcW w:w="1234" w:type="dxa"/>
                  <w:vMerge w:val="continue"/>
                  <w:shd w:val="clear" w:color="auto" w:fill="auto"/>
                  <w:noWrap/>
                  <w:vAlign w:val="center"/>
                </w:tcPr>
                <w:p>
                  <w:pPr>
                    <w:pStyle w:val="32"/>
                    <w:keepNext w:val="0"/>
                    <w:keepLines w:val="0"/>
                    <w:widowControl/>
                    <w:suppressLineNumbers w:val="0"/>
                    <w:bidi w:val="0"/>
                    <w:spacing w:before="0" w:beforeAutospacing="0" w:afterAutospacing="0"/>
                    <w:ind w:left="0" w:right="0"/>
                    <w:rPr>
                      <w:rFonts w:hint="eastAsia"/>
                      <w:u w:val="single"/>
                    </w:rPr>
                  </w:pPr>
                </w:p>
              </w:tc>
              <w:tc>
                <w:tcPr>
                  <w:tcW w:w="1432" w:type="dxa"/>
                  <w:shd w:val="clear" w:color="auto" w:fill="auto"/>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lang w:val="en-US" w:eastAsia="zh-CN"/>
                    </w:rPr>
                    <w:t>14.55</w:t>
                  </w:r>
                </w:p>
              </w:tc>
            </w:tr>
          </w:tbl>
          <w:p>
            <w:pPr>
              <w:keepNext w:val="0"/>
              <w:keepLines w:val="0"/>
              <w:widowControl w:val="0"/>
              <w:suppressLineNumbers w:val="0"/>
              <w:spacing w:before="0" w:beforeAutospacing="0" w:after="0" w:afterAutospacing="0"/>
              <w:ind w:left="0" w:right="0" w:firstLine="422" w:firstLineChars="201"/>
              <w:jc w:val="both"/>
              <w:rPr>
                <w:rFonts w:hint="default" w:cs="Times New Roman"/>
                <w:sz w:val="21"/>
                <w:szCs w:val="21"/>
                <w:u w:val="single"/>
              </w:rPr>
            </w:pPr>
            <w:r>
              <w:rPr>
                <w:rFonts w:hint="eastAsia" w:cs="Times New Roman"/>
                <w:sz w:val="21"/>
                <w:szCs w:val="21"/>
                <w:u w:val="single"/>
                <w:lang w:eastAsia="zh-CN"/>
              </w:rPr>
              <w:t>由上表可知</w:t>
            </w:r>
            <w:r>
              <w:rPr>
                <w:rFonts w:hint="default" w:cs="Times New Roman"/>
                <w:sz w:val="21"/>
                <w:szCs w:val="21"/>
                <w:u w:val="single"/>
              </w:rPr>
              <w:t>，厂界噪声符合《工业企业厂界环境噪声排放标准》（GB12348-2008）</w:t>
            </w:r>
            <w:r>
              <w:rPr>
                <w:rFonts w:hint="eastAsia" w:cs="Times New Roman"/>
                <w:sz w:val="21"/>
                <w:szCs w:val="21"/>
                <w:u w:val="single"/>
              </w:rPr>
              <w:t>3</w:t>
            </w:r>
            <w:r>
              <w:rPr>
                <w:rFonts w:hint="default" w:cs="Times New Roman"/>
                <w:sz w:val="21"/>
                <w:szCs w:val="21"/>
                <w:u w:val="single"/>
              </w:rPr>
              <w:t>类区标准。</w:t>
            </w:r>
          </w:p>
          <w:p>
            <w:pPr>
              <w:keepNext w:val="0"/>
              <w:keepLines w:val="0"/>
              <w:widowControl/>
              <w:suppressLineNumbers w:val="0"/>
              <w:spacing w:before="0" w:beforeAutospacing="0" w:after="0" w:afterAutospacing="0"/>
              <w:ind w:left="0" w:right="0" w:firstLine="420"/>
              <w:rPr>
                <w:rFonts w:hint="eastAsia" w:cs="Times New Roman"/>
                <w:sz w:val="21"/>
                <w:szCs w:val="21"/>
                <w:u w:val="single"/>
              </w:rPr>
            </w:pPr>
          </w:p>
          <w:p>
            <w:pPr>
              <w:keepNext w:val="0"/>
              <w:keepLines w:val="0"/>
              <w:widowControl/>
              <w:suppressLineNumbers w:val="0"/>
              <w:spacing w:before="0" w:beforeAutospacing="0" w:after="0" w:afterAutospacing="0"/>
              <w:ind w:left="0" w:right="0" w:firstLine="412" w:firstLineChars="196"/>
              <w:rPr>
                <w:rFonts w:hint="default" w:cs="Times New Roman"/>
                <w:b/>
                <w:sz w:val="21"/>
                <w:szCs w:val="21"/>
              </w:rPr>
            </w:pPr>
            <w:r>
              <w:rPr>
                <w:rFonts w:hint="default" w:eastAsia="Times New Roman" w:cs="Times New Roman"/>
                <w:b/>
                <w:sz w:val="21"/>
                <w:szCs w:val="21"/>
              </w:rPr>
              <w:t>4.2.4</w:t>
            </w:r>
            <w:r>
              <w:rPr>
                <w:rFonts w:hint="default" w:cs="Times New Roman"/>
                <w:b/>
                <w:sz w:val="21"/>
                <w:szCs w:val="21"/>
              </w:rPr>
              <w:t>营运期固体废物环境影响分析</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default" w:eastAsia="Times New Roman" w:cs="Times New Roman"/>
                <w:b/>
                <w:sz w:val="21"/>
                <w:szCs w:val="21"/>
              </w:rPr>
              <w:t>4.2.4</w:t>
            </w:r>
            <w:r>
              <w:rPr>
                <w:rFonts w:hint="eastAsia" w:cs="Times New Roman"/>
                <w:b/>
                <w:sz w:val="21"/>
                <w:szCs w:val="21"/>
                <w:lang w:val="en-US" w:eastAsia="zh-CN"/>
              </w:rPr>
              <w:t>.1</w:t>
            </w:r>
            <w:r>
              <w:rPr>
                <w:rFonts w:hint="default" w:cs="Times New Roman"/>
                <w:b/>
                <w:kern w:val="44"/>
                <w:sz w:val="21"/>
                <w:szCs w:val="21"/>
              </w:rPr>
              <w:t>营运期</w:t>
            </w:r>
            <w:r>
              <w:rPr>
                <w:rFonts w:hint="default" w:cs="Times New Roman"/>
                <w:b/>
                <w:sz w:val="21"/>
                <w:szCs w:val="21"/>
              </w:rPr>
              <w:t>固体废物</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1、生活垃圾</w:t>
            </w:r>
          </w:p>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rPr>
              <w:t>项目产生的固体废物主要为职工生活垃圾，项目职工定员</w:t>
            </w:r>
            <w:r>
              <w:rPr>
                <w:rFonts w:hint="eastAsia"/>
                <w:sz w:val="21"/>
                <w:szCs w:val="21"/>
              </w:rPr>
              <w:t>200</w:t>
            </w:r>
            <w:r>
              <w:rPr>
                <w:rFonts w:hint="default"/>
                <w:sz w:val="21"/>
                <w:szCs w:val="21"/>
              </w:rPr>
              <w:t>人，生活垃圾产生量为0.5kg/人·d，年工作天数为</w:t>
            </w:r>
            <w:r>
              <w:rPr>
                <w:rFonts w:hint="eastAsia"/>
                <w:sz w:val="21"/>
                <w:szCs w:val="21"/>
              </w:rPr>
              <w:t>250</w:t>
            </w:r>
            <w:r>
              <w:rPr>
                <w:rFonts w:hint="default"/>
                <w:sz w:val="21"/>
                <w:szCs w:val="21"/>
              </w:rPr>
              <w:t>天，生活垃圾产生量约为</w:t>
            </w:r>
            <w:r>
              <w:rPr>
                <w:rFonts w:hint="eastAsia"/>
                <w:sz w:val="21"/>
                <w:szCs w:val="21"/>
              </w:rPr>
              <w:t>25</w:t>
            </w:r>
            <w:r>
              <w:rPr>
                <w:rFonts w:hint="default"/>
                <w:sz w:val="21"/>
                <w:szCs w:val="21"/>
              </w:rPr>
              <w:t>t/a，由环卫部门定期清理外运。</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2、废边角料</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根据业主提供资料，废边角料约</w:t>
            </w:r>
            <w:r>
              <w:rPr>
                <w:rFonts w:hint="default"/>
                <w:sz w:val="21"/>
                <w:szCs w:val="21"/>
              </w:rPr>
              <w:t>500</w:t>
            </w:r>
            <w:r>
              <w:rPr>
                <w:rFonts w:hint="eastAsia"/>
                <w:sz w:val="21"/>
                <w:szCs w:val="21"/>
              </w:rPr>
              <w:t>吨</w:t>
            </w:r>
            <w:r>
              <w:rPr>
                <w:rFonts w:hint="default"/>
                <w:sz w:val="21"/>
                <w:szCs w:val="21"/>
              </w:rPr>
              <w:t>/</w:t>
            </w:r>
            <w:r>
              <w:rPr>
                <w:rFonts w:hint="eastAsia"/>
                <w:sz w:val="21"/>
                <w:szCs w:val="21"/>
              </w:rPr>
              <w:t>年，集中存放于车间废料区，定期清理，由相关单位集中收购。</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3、焊渣</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项目焊接过程会产生少量的焊渣，焊渣产生量一般以焊丝用量的1/11计，本项目所用焊丝（条）为250t/a，因此焊渣产生量为22.7t/a，焊渣先暂存于一般固废暂存间，一定数量后联系有资质的单位集中收购。一般固废暂存位置按车间布局图，面积约</w:t>
            </w:r>
            <w:r>
              <w:rPr>
                <w:rFonts w:hint="default"/>
                <w:sz w:val="21"/>
                <w:szCs w:val="21"/>
              </w:rPr>
              <w:t>15</w:t>
            </w:r>
            <w:r>
              <w:rPr>
                <w:rFonts w:hint="eastAsia"/>
                <w:sz w:val="21"/>
                <w:szCs w:val="21"/>
              </w:rPr>
              <w:t>平方米。</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4、废矿物油</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本项目润滑油用量约</w:t>
            </w:r>
            <w:r>
              <w:rPr>
                <w:rFonts w:hint="default"/>
                <w:sz w:val="21"/>
                <w:szCs w:val="21"/>
              </w:rPr>
              <w:t>200</w:t>
            </w:r>
            <w:r>
              <w:rPr>
                <w:rFonts w:hint="eastAsia"/>
                <w:sz w:val="21"/>
                <w:szCs w:val="21"/>
              </w:rPr>
              <w:t>kg</w:t>
            </w:r>
            <w:r>
              <w:rPr>
                <w:rFonts w:hint="default"/>
                <w:sz w:val="21"/>
                <w:szCs w:val="21"/>
              </w:rPr>
              <w:t>/</w:t>
            </w:r>
            <w:r>
              <w:rPr>
                <w:rFonts w:hint="eastAsia"/>
                <w:sz w:val="21"/>
                <w:szCs w:val="21"/>
              </w:rPr>
              <w:t>年，废润滑油产生量约</w:t>
            </w:r>
            <w:r>
              <w:rPr>
                <w:rFonts w:hint="default"/>
                <w:sz w:val="21"/>
                <w:szCs w:val="21"/>
              </w:rPr>
              <w:t>100</w:t>
            </w:r>
            <w:r>
              <w:rPr>
                <w:rFonts w:hint="eastAsia"/>
                <w:sz w:val="21"/>
                <w:szCs w:val="21"/>
              </w:rPr>
              <w:t>kg</w:t>
            </w:r>
            <w:r>
              <w:rPr>
                <w:rFonts w:hint="default"/>
                <w:sz w:val="21"/>
                <w:szCs w:val="21"/>
              </w:rPr>
              <w:t>/</w:t>
            </w:r>
            <w:r>
              <w:rPr>
                <w:rFonts w:hint="eastAsia"/>
                <w:sz w:val="21"/>
                <w:szCs w:val="21"/>
              </w:rPr>
              <w:t>年。根据《国家危险废物名录》（2021版），为危险废物，危废代码：HW08废矿物油与含矿物油废物 非特定行业900-217-08。暂存于危险废物暂存间，由有资质单位收集处理，危废暂存间大小约</w:t>
            </w:r>
            <w:r>
              <w:rPr>
                <w:rFonts w:hint="default"/>
                <w:sz w:val="21"/>
                <w:szCs w:val="21"/>
              </w:rPr>
              <w:t>12</w:t>
            </w:r>
            <w:r>
              <w:rPr>
                <w:rFonts w:hint="eastAsia"/>
                <w:sz w:val="21"/>
                <w:szCs w:val="21"/>
              </w:rPr>
              <w:t>平方米。位置按厂房车间布局图。</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5、废漆渣</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喷漆工序需对喷枪使用稀释剂进行清理，稀释剂可回收使用，</w:t>
            </w:r>
            <w:r>
              <w:rPr>
                <w:rFonts w:hint="eastAsia"/>
                <w:sz w:val="21"/>
                <w:szCs w:val="21"/>
                <w:u w:val="single"/>
              </w:rPr>
              <w:t>喷台定期捞渣</w:t>
            </w:r>
            <w:r>
              <w:rPr>
                <w:rFonts w:hint="eastAsia"/>
                <w:sz w:val="21"/>
                <w:szCs w:val="21"/>
              </w:rPr>
              <w:t>，该过程会产生废漆渣。</w:t>
            </w:r>
          </w:p>
          <w:tbl>
            <w:tblPr>
              <w:tblStyle w:val="26"/>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56"/>
              <w:gridCol w:w="1000"/>
              <w:gridCol w:w="1433"/>
              <w:gridCol w:w="1324"/>
              <w:gridCol w:w="1079"/>
              <w:gridCol w:w="1051"/>
              <w:gridCol w:w="137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21" w:hRule="atLeast"/>
                <w:jc w:val="center"/>
              </w:trPr>
              <w:tc>
                <w:tcPr>
                  <w:tcW w:w="73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名 称</w:t>
                  </w:r>
                </w:p>
              </w:tc>
              <w:tc>
                <w:tcPr>
                  <w:tcW w:w="58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年消耗量（t/a）</w:t>
                  </w:r>
                </w:p>
              </w:tc>
              <w:tc>
                <w:tcPr>
                  <w:tcW w:w="841"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有机物挥发量系数</w:t>
                  </w:r>
                </w:p>
              </w:tc>
              <w:tc>
                <w:tcPr>
                  <w:tcW w:w="77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挥发性有机物产生量（t/a）</w:t>
                  </w:r>
                </w:p>
              </w:tc>
              <w:tc>
                <w:tcPr>
                  <w:tcW w:w="63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附着量（t/a）</w:t>
                  </w:r>
                </w:p>
              </w:tc>
              <w:tc>
                <w:tcPr>
                  <w:tcW w:w="61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未附着量（t/a）</w:t>
                  </w:r>
                </w:p>
              </w:tc>
              <w:tc>
                <w:tcPr>
                  <w:tcW w:w="804"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漆渣（t/a）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2" w:hRule="atLeast"/>
                <w:jc w:val="center"/>
              </w:trPr>
              <w:tc>
                <w:tcPr>
                  <w:tcW w:w="73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聚氨酯树脂漆</w:t>
                  </w:r>
                </w:p>
              </w:tc>
              <w:tc>
                <w:tcPr>
                  <w:tcW w:w="58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6</w:t>
                  </w:r>
                </w:p>
              </w:tc>
              <w:tc>
                <w:tcPr>
                  <w:tcW w:w="841"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340kg/t</w:t>
                  </w:r>
                </w:p>
              </w:tc>
              <w:tc>
                <w:tcPr>
                  <w:tcW w:w="77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2.04</w:t>
                  </w:r>
                </w:p>
              </w:tc>
              <w:tc>
                <w:tcPr>
                  <w:tcW w:w="63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3.6</w:t>
                  </w:r>
                </w:p>
              </w:tc>
              <w:tc>
                <w:tcPr>
                  <w:tcW w:w="61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2.4</w:t>
                  </w:r>
                </w:p>
              </w:tc>
              <w:tc>
                <w:tcPr>
                  <w:tcW w:w="804"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0.036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2" w:hRule="atLeast"/>
                <w:jc w:val="center"/>
              </w:trPr>
              <w:tc>
                <w:tcPr>
                  <w:tcW w:w="73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合计</w:t>
                  </w:r>
                </w:p>
              </w:tc>
              <w:tc>
                <w:tcPr>
                  <w:tcW w:w="58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p>
              </w:tc>
              <w:tc>
                <w:tcPr>
                  <w:tcW w:w="841"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p>
              </w:tc>
              <w:tc>
                <w:tcPr>
                  <w:tcW w:w="77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p>
              </w:tc>
              <w:tc>
                <w:tcPr>
                  <w:tcW w:w="63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p>
              </w:tc>
              <w:tc>
                <w:tcPr>
                  <w:tcW w:w="617"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p>
              </w:tc>
              <w:tc>
                <w:tcPr>
                  <w:tcW w:w="804"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spacing w:before="0" w:beforeAutospacing="0" w:afterAutospacing="0"/>
                    <w:ind w:left="0" w:right="0"/>
                    <w:rPr>
                      <w:rFonts w:hint="default" w:ascii="Calibri" w:hAnsi="Calibri" w:eastAsia="Times New Roman" w:cs="Times New Roman"/>
                      <w:szCs w:val="21"/>
                    </w:rPr>
                  </w:pPr>
                  <w:r>
                    <w:rPr>
                      <w:rFonts w:hint="eastAsia" w:ascii="Calibri" w:hAnsi="Calibri" w:eastAsia="Times New Roman" w:cs="Times New Roman"/>
                      <w:szCs w:val="21"/>
                    </w:rPr>
                    <w:t>0.036</w:t>
                  </w:r>
                </w:p>
              </w:tc>
            </w:tr>
          </w:tbl>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本项目漆渣产生量约为0.036t/a，根据《国家危险废物名录》（2021版），属于HW12，危险废物代码：900-252-12，</w:t>
            </w:r>
            <w:r>
              <w:rPr>
                <w:rFonts w:hint="eastAsia"/>
                <w:sz w:val="21"/>
                <w:szCs w:val="21"/>
                <w:u w:val="single"/>
              </w:rPr>
              <w:t>漆渣捞出后自然晾干</w:t>
            </w:r>
            <w:r>
              <w:rPr>
                <w:rFonts w:hint="eastAsia"/>
                <w:sz w:val="21"/>
                <w:szCs w:val="21"/>
              </w:rPr>
              <w:t>，委托有资质单位进行处理。</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6、废漆桶、废稀释剂桶</w:t>
            </w:r>
          </w:p>
          <w:p>
            <w:pPr>
              <w:keepNext w:val="0"/>
              <w:keepLines w:val="0"/>
              <w:widowControl/>
              <w:suppressLineNumbers w:val="0"/>
              <w:spacing w:before="0" w:beforeAutospacing="0" w:after="0" w:afterAutospacing="0"/>
              <w:ind w:left="0" w:right="0" w:firstLine="420"/>
              <w:rPr>
                <w:rFonts w:hint="default" w:ascii="宋体" w:hAnsi="宋体" w:cs="宋体"/>
                <w:sz w:val="21"/>
                <w:szCs w:val="21"/>
              </w:rPr>
            </w:pPr>
            <w:r>
              <w:rPr>
                <w:rFonts w:hint="eastAsia"/>
                <w:sz w:val="21"/>
                <w:szCs w:val="21"/>
              </w:rPr>
              <w:t>项目在聚氨酯漆、稀释剂调配及使用完后，会产生废漆桶、废稀释剂桶，产生量约为</w:t>
            </w:r>
            <w:r>
              <w:rPr>
                <w:rFonts w:hint="eastAsia"/>
                <w:sz w:val="21"/>
                <w:szCs w:val="21"/>
                <w:u w:val="single"/>
              </w:rPr>
              <w:t>0.625t/a</w:t>
            </w:r>
            <w:r>
              <w:rPr>
                <w:rFonts w:hint="eastAsia"/>
                <w:sz w:val="21"/>
                <w:szCs w:val="21"/>
              </w:rPr>
              <w:t>。根据《国家危险废物</w:t>
            </w:r>
            <w:r>
              <w:rPr>
                <w:rFonts w:hint="eastAsia" w:ascii="宋体" w:hAnsi="宋体" w:cs="宋体"/>
                <w:kern w:val="2"/>
                <w:sz w:val="21"/>
                <w:szCs w:val="21"/>
                <w:lang w:bidi="ar"/>
              </w:rPr>
              <w:t>名录》（</w:t>
            </w:r>
            <w:r>
              <w:rPr>
                <w:rFonts w:hint="eastAsia"/>
                <w:sz w:val="21"/>
                <w:szCs w:val="21"/>
              </w:rPr>
              <w:t>2021版</w:t>
            </w:r>
            <w:r>
              <w:rPr>
                <w:rFonts w:hint="eastAsia" w:ascii="宋体" w:hAnsi="宋体" w:cs="宋体"/>
                <w:kern w:val="2"/>
                <w:sz w:val="21"/>
                <w:szCs w:val="21"/>
                <w:lang w:bidi="ar"/>
              </w:rPr>
              <w:t>），属于HW49其他废物，</w:t>
            </w:r>
            <w:r>
              <w:rPr>
                <w:rFonts w:hint="eastAsia"/>
                <w:sz w:val="21"/>
                <w:szCs w:val="21"/>
              </w:rPr>
              <w:t>危险废物代码：</w:t>
            </w:r>
            <w:r>
              <w:rPr>
                <w:rFonts w:hint="eastAsia" w:ascii="宋体" w:hAnsi="宋体" w:cs="宋体"/>
                <w:kern w:val="2"/>
                <w:sz w:val="21"/>
                <w:szCs w:val="21"/>
                <w:lang w:bidi="ar"/>
              </w:rPr>
              <w:t>900-041-49，废漆桶、废稀释剂桶经收集后委托有资质单位进行无害化处理。</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7、废活性炭</w:t>
            </w:r>
          </w:p>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rPr>
              <w:t>废活性炭一般吸附能力是0.3~0.4kg有机物/kg活性炭</w:t>
            </w:r>
            <w:r>
              <w:rPr>
                <w:rFonts w:hint="eastAsia"/>
                <w:sz w:val="21"/>
                <w:szCs w:val="21"/>
              </w:rPr>
              <w:t>，本项目被吸附的挥发性有机物共计</w:t>
            </w:r>
            <w:r>
              <w:rPr>
                <w:rFonts w:hint="default"/>
                <w:sz w:val="21"/>
                <w:szCs w:val="21"/>
              </w:rPr>
              <w:t>0.8</w:t>
            </w:r>
            <w:r>
              <w:rPr>
                <w:rFonts w:hint="eastAsia"/>
                <w:sz w:val="21"/>
                <w:szCs w:val="21"/>
              </w:rPr>
              <w:t>t/a，因此活性炭年用量约为</w:t>
            </w:r>
            <w:r>
              <w:rPr>
                <w:rFonts w:hint="default"/>
                <w:sz w:val="21"/>
                <w:szCs w:val="21"/>
              </w:rPr>
              <w:t>2</w:t>
            </w:r>
            <w:r>
              <w:rPr>
                <w:rFonts w:hint="eastAsia"/>
                <w:sz w:val="21"/>
                <w:szCs w:val="21"/>
              </w:rPr>
              <w:t>t/a，根据《国家危险废物名录》</w:t>
            </w:r>
            <w:r>
              <w:rPr>
                <w:rFonts w:hint="eastAsia" w:ascii="宋体" w:hAnsi="宋体" w:cs="宋体"/>
                <w:kern w:val="2"/>
                <w:sz w:val="21"/>
                <w:szCs w:val="21"/>
                <w:lang w:bidi="ar"/>
              </w:rPr>
              <w:t>（</w:t>
            </w:r>
            <w:r>
              <w:rPr>
                <w:rFonts w:hint="eastAsia"/>
                <w:sz w:val="21"/>
                <w:szCs w:val="21"/>
              </w:rPr>
              <w:t>2021版</w:t>
            </w:r>
            <w:r>
              <w:rPr>
                <w:rFonts w:hint="eastAsia" w:ascii="宋体" w:hAnsi="宋体" w:cs="宋体"/>
                <w:kern w:val="2"/>
                <w:sz w:val="21"/>
                <w:szCs w:val="21"/>
                <w:lang w:bidi="ar"/>
              </w:rPr>
              <w:t>）</w:t>
            </w:r>
            <w:r>
              <w:rPr>
                <w:rFonts w:hint="eastAsia"/>
                <w:sz w:val="21"/>
                <w:szCs w:val="21"/>
              </w:rPr>
              <w:t>，废活性炭属于危险废物，危险废物代码：HW49，900-039-49。委托有资质单位进行处置。</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cs="Times New Roman"/>
                <w:kern w:val="2"/>
                <w:sz w:val="21"/>
                <w:szCs w:val="21"/>
                <w:u w:val="single"/>
                <w:lang w:bidi="ar"/>
              </w:rPr>
              <w:t>当活性碳吸附效率低于80%时更换活性炭，约2个月更换一次，更换后暂存于危废暂存间，废活性炭产生量为</w:t>
            </w:r>
            <w:r>
              <w:rPr>
                <w:rFonts w:hint="default"/>
                <w:sz w:val="21"/>
                <w:szCs w:val="21"/>
                <w:u w:val="single"/>
              </w:rPr>
              <w:t>2</w:t>
            </w:r>
            <w:r>
              <w:rPr>
                <w:rFonts w:hint="eastAsia"/>
                <w:sz w:val="21"/>
                <w:szCs w:val="21"/>
                <w:u w:val="single"/>
              </w:rPr>
              <w:t>t/a。</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eastAsia" w:ascii="宋体" w:hAnsi="宋体" w:cs="Times New Roman"/>
                <w:kern w:val="2"/>
                <w:sz w:val="21"/>
                <w:szCs w:val="21"/>
                <w:u w:val="single"/>
                <w:lang w:bidi="ar"/>
              </w:rPr>
              <w:t>8、</w:t>
            </w:r>
            <w:r>
              <w:rPr>
                <w:rFonts w:hint="eastAsia"/>
                <w:sz w:val="21"/>
                <w:szCs w:val="21"/>
                <w:u w:val="single"/>
              </w:rPr>
              <w:t>水帘柜更换废水</w:t>
            </w:r>
          </w:p>
          <w:p>
            <w:pPr>
              <w:pStyle w:val="15"/>
              <w:keepNext w:val="0"/>
              <w:keepLines w:val="0"/>
              <w:widowControl/>
              <w:suppressLineNumbers w:val="0"/>
              <w:spacing w:before="0" w:beforeAutospacing="0" w:after="0" w:afterAutospacing="0"/>
              <w:ind w:left="0" w:right="0" w:firstLine="420"/>
              <w:rPr>
                <w:rFonts w:hint="default" w:cs="Times New Roman"/>
                <w:kern w:val="2"/>
                <w:sz w:val="21"/>
                <w:szCs w:val="21"/>
                <w:u w:val="single"/>
                <w:lang w:bidi="ar"/>
              </w:rPr>
            </w:pPr>
            <w:r>
              <w:rPr>
                <w:rFonts w:hint="default" w:cs="Times New Roman"/>
                <w:kern w:val="2"/>
                <w:sz w:val="21"/>
                <w:szCs w:val="21"/>
                <w:u w:val="single"/>
                <w:lang w:bidi="ar"/>
              </w:rPr>
              <w:t>水帘柜用水循环使用，需日补充0.</w:t>
            </w:r>
            <w:r>
              <w:rPr>
                <w:rFonts w:hint="eastAsia" w:cs="Times New Roman"/>
                <w:kern w:val="2"/>
                <w:sz w:val="21"/>
                <w:szCs w:val="21"/>
                <w:u w:val="single"/>
                <w:lang w:bidi="ar"/>
              </w:rPr>
              <w:t>4</w:t>
            </w:r>
            <w:r>
              <w:rPr>
                <w:rFonts w:hint="default" w:cs="Times New Roman"/>
                <w:kern w:val="2"/>
                <w:sz w:val="21"/>
                <w:szCs w:val="21"/>
                <w:u w:val="single"/>
                <w:lang w:bidi="ar"/>
              </w:rPr>
              <w:t>t/d，用量为</w:t>
            </w:r>
            <w:r>
              <w:rPr>
                <w:rFonts w:hint="eastAsia" w:cs="Times New Roman"/>
                <w:kern w:val="2"/>
                <w:sz w:val="21"/>
                <w:szCs w:val="21"/>
                <w:u w:val="single"/>
                <w:lang w:bidi="ar"/>
              </w:rPr>
              <w:t>120</w:t>
            </w:r>
            <w:r>
              <w:rPr>
                <w:rFonts w:hint="default" w:cs="Times New Roman"/>
                <w:sz w:val="21"/>
                <w:szCs w:val="21"/>
                <w:u w:val="single"/>
              </w:rPr>
              <w:t>m</w:t>
            </w:r>
            <w:r>
              <w:rPr>
                <w:rFonts w:hint="default" w:cs="Times New Roman"/>
                <w:sz w:val="21"/>
                <w:szCs w:val="21"/>
                <w:u w:val="single"/>
                <w:vertAlign w:val="superscript"/>
              </w:rPr>
              <w:t>3</w:t>
            </w:r>
            <w:r>
              <w:rPr>
                <w:rFonts w:hint="default" w:cs="Times New Roman"/>
                <w:sz w:val="21"/>
                <w:szCs w:val="21"/>
                <w:u w:val="single"/>
              </w:rPr>
              <w:t>/a</w:t>
            </w:r>
            <w:r>
              <w:rPr>
                <w:rFonts w:hint="default" w:cs="Times New Roman"/>
                <w:kern w:val="2"/>
                <w:sz w:val="21"/>
                <w:szCs w:val="21"/>
                <w:u w:val="single"/>
                <w:lang w:bidi="ar"/>
              </w:rPr>
              <w:t>。水帘喷漆废水使用到一定时间后水质就不能满足工作要求，需要排放更换，预计每2个月更换一次</w:t>
            </w:r>
            <w:r>
              <w:rPr>
                <w:rFonts w:hint="eastAsia" w:cs="Times New Roman"/>
                <w:kern w:val="2"/>
                <w:sz w:val="21"/>
                <w:szCs w:val="21"/>
                <w:u w:val="single"/>
                <w:lang w:bidi="ar"/>
              </w:rPr>
              <w:t>，</w:t>
            </w:r>
            <w:r>
              <w:rPr>
                <w:rFonts w:hint="default" w:cs="Times New Roman"/>
                <w:kern w:val="2"/>
                <w:sz w:val="21"/>
                <w:szCs w:val="21"/>
                <w:u w:val="single"/>
                <w:lang w:bidi="ar"/>
              </w:rPr>
              <w:t>每次更换量为2m³</w:t>
            </w:r>
            <w:r>
              <w:rPr>
                <w:rFonts w:hint="eastAsia" w:cs="Times New Roman"/>
                <w:kern w:val="2"/>
                <w:sz w:val="21"/>
                <w:szCs w:val="21"/>
                <w:u w:val="single"/>
                <w:lang w:bidi="ar"/>
              </w:rPr>
              <w:t>。</w:t>
            </w:r>
            <w:r>
              <w:rPr>
                <w:rFonts w:hint="eastAsia"/>
                <w:sz w:val="21"/>
                <w:szCs w:val="21"/>
                <w:u w:val="single"/>
              </w:rPr>
              <w:t>根据《国家危险废物名录》</w:t>
            </w:r>
            <w:r>
              <w:rPr>
                <w:rFonts w:hint="eastAsia" w:ascii="宋体" w:hAnsi="宋体" w:cs="宋体"/>
                <w:kern w:val="2"/>
                <w:sz w:val="21"/>
                <w:szCs w:val="21"/>
                <w:u w:val="single"/>
                <w:lang w:bidi="ar"/>
              </w:rPr>
              <w:t>（</w:t>
            </w:r>
            <w:r>
              <w:rPr>
                <w:rFonts w:hint="eastAsia"/>
                <w:sz w:val="21"/>
                <w:szCs w:val="21"/>
                <w:u w:val="single"/>
              </w:rPr>
              <w:t>2021版</w:t>
            </w:r>
            <w:r>
              <w:rPr>
                <w:rFonts w:hint="eastAsia" w:ascii="宋体" w:hAnsi="宋体" w:cs="宋体"/>
                <w:kern w:val="2"/>
                <w:sz w:val="21"/>
                <w:szCs w:val="21"/>
                <w:u w:val="single"/>
                <w:lang w:bidi="ar"/>
              </w:rPr>
              <w:t>）</w:t>
            </w:r>
            <w:r>
              <w:rPr>
                <w:rFonts w:hint="eastAsia"/>
                <w:sz w:val="21"/>
                <w:szCs w:val="21"/>
                <w:u w:val="single"/>
              </w:rPr>
              <w:t>，属于HW12 染料、涂料废物 264-013-12，</w:t>
            </w:r>
            <w:r>
              <w:rPr>
                <w:rFonts w:hint="default" w:cs="Times New Roman"/>
                <w:kern w:val="2"/>
                <w:sz w:val="21"/>
                <w:szCs w:val="21"/>
                <w:u w:val="single"/>
                <w:lang w:bidi="ar"/>
              </w:rPr>
              <w:t>更换</w:t>
            </w:r>
            <w:r>
              <w:rPr>
                <w:rFonts w:hint="eastAsia" w:cs="Times New Roman"/>
                <w:kern w:val="2"/>
                <w:sz w:val="21"/>
                <w:szCs w:val="21"/>
                <w:u w:val="single"/>
                <w:lang w:bidi="ar"/>
              </w:rPr>
              <w:t>的</w:t>
            </w:r>
            <w:r>
              <w:rPr>
                <w:rFonts w:hint="default" w:cs="Times New Roman"/>
                <w:kern w:val="2"/>
                <w:sz w:val="21"/>
                <w:szCs w:val="21"/>
                <w:u w:val="single"/>
                <w:lang w:bidi="ar"/>
              </w:rPr>
              <w:t>水帘喷漆废液委托有资质单位处理。</w:t>
            </w:r>
          </w:p>
          <w:p>
            <w:pPr>
              <w:pStyle w:val="15"/>
              <w:keepNext w:val="0"/>
              <w:keepLines w:val="0"/>
              <w:widowControl/>
              <w:suppressLineNumbers w:val="0"/>
              <w:spacing w:before="0" w:beforeAutospacing="0" w:after="0" w:afterAutospacing="0"/>
              <w:ind w:left="0" w:right="0" w:firstLine="420"/>
              <w:rPr>
                <w:rFonts w:hint="default" w:cs="Times New Roman"/>
                <w:kern w:val="2"/>
                <w:sz w:val="21"/>
                <w:szCs w:val="21"/>
                <w:u w:val="single"/>
                <w:lang w:bidi="ar"/>
              </w:rPr>
            </w:pPr>
            <w:r>
              <w:rPr>
                <w:rFonts w:hint="eastAsia" w:cs="Times New Roman"/>
                <w:kern w:val="2"/>
                <w:sz w:val="21"/>
                <w:szCs w:val="21"/>
                <w:u w:val="single"/>
                <w:lang w:bidi="ar"/>
              </w:rPr>
              <w:t>9、水浴池捞渣</w:t>
            </w:r>
          </w:p>
          <w:p>
            <w:pPr>
              <w:pStyle w:val="15"/>
              <w:keepNext w:val="0"/>
              <w:keepLines w:val="0"/>
              <w:widowControl/>
              <w:suppressLineNumbers w:val="0"/>
              <w:spacing w:before="0" w:beforeAutospacing="0" w:after="0" w:afterAutospacing="0"/>
              <w:ind w:left="0" w:right="0" w:firstLine="420"/>
              <w:rPr>
                <w:rFonts w:hint="eastAsia" w:eastAsia="宋体"/>
                <w:sz w:val="21"/>
                <w:szCs w:val="21"/>
                <w:lang w:eastAsia="zh-CN"/>
              </w:rPr>
            </w:pPr>
            <w:r>
              <w:rPr>
                <w:rFonts w:hint="eastAsia" w:cs="Times New Roman"/>
                <w:kern w:val="2"/>
                <w:sz w:val="21"/>
                <w:szCs w:val="21"/>
                <w:u w:val="single"/>
                <w:lang w:bidi="ar"/>
              </w:rPr>
              <w:t>水浴池需要定期捞渣，经分析，水浴池中处理喷砂废气后沉淀的渣量=（喷砂废气颗粒物产生量-喷砂废气颗粒物无组织排放）</w:t>
            </w:r>
            <w:r>
              <w:rPr>
                <w:rFonts w:hint="default" w:cs="Times New Roman"/>
                <w:kern w:val="2"/>
                <w:sz w:val="21"/>
                <w:szCs w:val="21"/>
                <w:u w:val="single"/>
                <w:lang w:bidi="ar"/>
              </w:rPr>
              <w:t>×</w:t>
            </w:r>
            <w:r>
              <w:rPr>
                <w:rFonts w:hint="eastAsia" w:cs="Times New Roman"/>
                <w:kern w:val="2"/>
                <w:sz w:val="21"/>
                <w:szCs w:val="21"/>
                <w:u w:val="single"/>
                <w:lang w:bidi="ar"/>
              </w:rPr>
              <w:t>处理效率=（175.2千克-17.52千克</w:t>
            </w:r>
            <w:r>
              <w:rPr>
                <w:rFonts w:hint="eastAsia"/>
                <w:sz w:val="21"/>
                <w:szCs w:val="21"/>
                <w:u w:val="single"/>
              </w:rPr>
              <w:t>）</w:t>
            </w:r>
            <w:r>
              <w:rPr>
                <w:rFonts w:hint="default"/>
                <w:sz w:val="21"/>
                <w:szCs w:val="21"/>
                <w:u w:val="single"/>
              </w:rPr>
              <w:t>×</w:t>
            </w:r>
            <w:r>
              <w:rPr>
                <w:rFonts w:hint="eastAsia"/>
                <w:sz w:val="21"/>
                <w:szCs w:val="21"/>
                <w:u w:val="single"/>
              </w:rPr>
              <w:t>85%=134.03千克。</w:t>
            </w:r>
            <w:r>
              <w:rPr>
                <w:rFonts w:hint="eastAsia" w:cs="Times New Roman"/>
                <w:kern w:val="2"/>
                <w:sz w:val="21"/>
                <w:szCs w:val="21"/>
                <w:u w:val="single"/>
                <w:lang w:bidi="ar"/>
              </w:rPr>
              <w:t>捞</w:t>
            </w:r>
            <w:r>
              <w:rPr>
                <w:rFonts w:hint="eastAsia" w:cs="Times New Roman"/>
                <w:kern w:val="2"/>
                <w:sz w:val="21"/>
                <w:szCs w:val="21"/>
                <w:u w:val="single"/>
                <w:lang w:eastAsia="zh-CN" w:bidi="ar"/>
              </w:rPr>
              <w:t>出来的</w:t>
            </w:r>
            <w:r>
              <w:rPr>
                <w:rFonts w:hint="eastAsia" w:cs="Times New Roman"/>
                <w:kern w:val="2"/>
                <w:sz w:val="21"/>
                <w:szCs w:val="21"/>
                <w:u w:val="single"/>
                <w:lang w:bidi="ar"/>
              </w:rPr>
              <w:t>渣</w:t>
            </w:r>
            <w:r>
              <w:rPr>
                <w:rFonts w:hint="eastAsia" w:cs="Times New Roman"/>
                <w:kern w:val="2"/>
                <w:sz w:val="21"/>
                <w:szCs w:val="21"/>
                <w:u w:val="single"/>
                <w:lang w:eastAsia="zh-CN" w:bidi="ar"/>
              </w:rPr>
              <w:t>通过过滤后自然晾干，分类收集，由相关单位集中收购。</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-9</w:t>
            </w:r>
            <w:r>
              <w:rPr>
                <w:rFonts w:hint="default"/>
                <w:color w:val="auto"/>
                <w:sz w:val="21"/>
                <w:szCs w:val="21"/>
              </w:rPr>
              <w:t xml:space="preserve">  固废</w:t>
            </w:r>
            <w:r>
              <w:rPr>
                <w:rFonts w:hint="eastAsia"/>
                <w:color w:val="auto"/>
                <w:sz w:val="21"/>
                <w:szCs w:val="21"/>
              </w:rPr>
              <w:t>产生</w:t>
            </w:r>
            <w:r>
              <w:rPr>
                <w:rFonts w:hint="default"/>
                <w:color w:val="auto"/>
                <w:sz w:val="21"/>
                <w:szCs w:val="21"/>
              </w:rPr>
              <w:t>情况一览表</w:t>
            </w:r>
          </w:p>
          <w:tbl>
            <w:tblPr>
              <w:tblStyle w:val="51"/>
              <w:tblW w:w="799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
              <w:gridCol w:w="1155"/>
              <w:gridCol w:w="869"/>
              <w:gridCol w:w="1119"/>
              <w:gridCol w:w="943"/>
              <w:gridCol w:w="2121"/>
              <w:gridCol w:w="1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8"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序号</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污染物</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产生量</w:t>
                  </w:r>
                </w:p>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（t/a）</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产生位置</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排放量（t/a）</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处置方式</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1</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生活垃圾</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25</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员工生活</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25</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环卫部门定期清理外运</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一般固废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2</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废边角料</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500</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生产加工</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存放于车间废料区，定期清理，由相关单位集中收购</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一般固废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3</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焊渣</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22.7</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电焊过程</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焊渣先暂存于一般固废暂存间，由</w:t>
                  </w:r>
                  <w:r>
                    <w:rPr>
                      <w:rFonts w:hint="eastAsia" w:ascii="Times New Roman"/>
                      <w:szCs w:val="21"/>
                      <w:lang w:eastAsia="zh-CN"/>
                    </w:rPr>
                    <w:t>相关</w:t>
                  </w:r>
                  <w:r>
                    <w:rPr>
                      <w:rFonts w:ascii="Times New Roman" w:eastAsia="Times New Roman"/>
                      <w:szCs w:val="21"/>
                    </w:rPr>
                    <w:t>单位集中收购。</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一般固废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4</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废矿物油</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0.1</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生产加工</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危险废物，由有资质单位收集处理</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HW08 900-217-08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heme="minorEastAsia"/>
                      <w:szCs w:val="21"/>
                    </w:rPr>
                  </w:pPr>
                  <w:r>
                    <w:rPr>
                      <w:rFonts w:ascii="Times New Roman" w:eastAsiaTheme="minorEastAsia"/>
                      <w:szCs w:val="21"/>
                    </w:rPr>
                    <w:t>5</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废漆渣</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0.036</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喷漆过程</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危险废物，由有资质单位收集处理</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HW12</w:t>
                  </w:r>
                </w:p>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900-252-12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2"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heme="minorEastAsia"/>
                      <w:szCs w:val="21"/>
                    </w:rPr>
                  </w:pPr>
                  <w:r>
                    <w:rPr>
                      <w:rFonts w:ascii="Times New Roman" w:eastAsiaTheme="minorEastAsia"/>
                      <w:szCs w:val="21"/>
                    </w:rPr>
                    <w:t>6</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废漆桶、废稀释剂桶</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eastAsia="Times New Roman"/>
                      <w:szCs w:val="21"/>
                    </w:rPr>
                    <w:t>0.625</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喷漆过程</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危险废物，由有资质单位收集处理</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HW49</w:t>
                  </w:r>
                </w:p>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900-041-49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heme="minorEastAsia"/>
                      <w:szCs w:val="21"/>
                    </w:rPr>
                  </w:pPr>
                  <w:r>
                    <w:rPr>
                      <w:rFonts w:ascii="Times New Roman" w:eastAsiaTheme="minorEastAsia"/>
                      <w:szCs w:val="21"/>
                    </w:rPr>
                    <w:t>7</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废活性炭</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default" w:ascii="Times New Roman" w:eastAsia="Times New Roman"/>
                      <w:szCs w:val="21"/>
                    </w:rPr>
                    <w:t>2</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喷漆过程</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危险废物，由有资质单位收集处理</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HW49 900-039-49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heme="minorEastAsia"/>
                      <w:szCs w:val="21"/>
                    </w:rPr>
                  </w:pPr>
                  <w:r>
                    <w:rPr>
                      <w:rFonts w:ascii="Times New Roman" w:eastAsiaTheme="minorEastAsia"/>
                      <w:szCs w:val="21"/>
                    </w:rPr>
                    <w:t>8</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eastAsia="Times New Roman"/>
                      <w:szCs w:val="21"/>
                      <w:u w:val="single"/>
                    </w:rPr>
                    <w:t>水帘柜更换废水</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12</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eastAsia="Times New Roman"/>
                      <w:szCs w:val="21"/>
                      <w:u w:val="single"/>
                    </w:rPr>
                    <w:t>水帘柜</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危险废物，由有资质单位收集处理</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HW12</w:t>
                  </w:r>
                </w:p>
                <w:p>
                  <w:pPr>
                    <w:pStyle w:val="46"/>
                    <w:keepNext w:val="0"/>
                    <w:keepLines w:val="0"/>
                    <w:suppressLineNumbers w:val="0"/>
                    <w:spacing w:before="31" w:beforeAutospacing="0" w:afterAutospacing="0"/>
                    <w:ind w:left="0" w:right="0"/>
                    <w:rPr>
                      <w:rFonts w:hint="default" w:eastAsia="Times New Roman"/>
                      <w:szCs w:val="21"/>
                    </w:rPr>
                  </w:pPr>
                  <w:r>
                    <w:rPr>
                      <w:rFonts w:ascii="Times New Roman" w:eastAsia="Times New Roman"/>
                      <w:szCs w:val="21"/>
                    </w:rPr>
                    <w:t>264-013-12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45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heme="minorEastAsia"/>
                      <w:szCs w:val="21"/>
                    </w:rPr>
                  </w:pPr>
                  <w:r>
                    <w:rPr>
                      <w:rFonts w:ascii="Times New Roman" w:eastAsiaTheme="minorEastAsia"/>
                      <w:szCs w:val="21"/>
                    </w:rPr>
                    <w:t>9</w:t>
                  </w:r>
                </w:p>
              </w:tc>
              <w:tc>
                <w:tcPr>
                  <w:tcW w:w="1155"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eastAsia="Times New Roman"/>
                      <w:szCs w:val="21"/>
                      <w:u w:val="single"/>
                    </w:rPr>
                  </w:pPr>
                  <w:r>
                    <w:rPr>
                      <w:rFonts w:ascii="Times New Roman" w:hAnsi="Times New Roman" w:eastAsia="宋体" w:cs="Times New Roman"/>
                      <w:szCs w:val="21"/>
                      <w:u w:val="single"/>
                      <w:lang w:bidi="ar"/>
                    </w:rPr>
                    <w:t>水浴池捞渣</w:t>
                  </w:r>
                </w:p>
              </w:tc>
              <w:tc>
                <w:tcPr>
                  <w:tcW w:w="86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0.134</w:t>
                  </w:r>
                </w:p>
              </w:tc>
              <w:tc>
                <w:tcPr>
                  <w:tcW w:w="1119"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eastAsia="Times New Roman"/>
                      <w:szCs w:val="21"/>
                      <w:u w:val="single"/>
                    </w:rPr>
                  </w:pPr>
                  <w:r>
                    <w:rPr>
                      <w:rFonts w:ascii="Times New Roman" w:hAnsi="Times New Roman" w:eastAsia="宋体" w:cs="Times New Roman"/>
                      <w:szCs w:val="21"/>
                      <w:u w:val="single"/>
                      <w:lang w:bidi="ar"/>
                    </w:rPr>
                    <w:t>水浴池</w:t>
                  </w:r>
                </w:p>
              </w:tc>
              <w:tc>
                <w:tcPr>
                  <w:tcW w:w="943"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0</w:t>
                  </w:r>
                </w:p>
              </w:tc>
              <w:tc>
                <w:tcPr>
                  <w:tcW w:w="2121"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先暂存于一般固废暂存间，由相关单位集中收购</w:t>
                  </w:r>
                </w:p>
              </w:tc>
              <w:tc>
                <w:tcPr>
                  <w:tcW w:w="1332" w:type="dxa"/>
                  <w:shd w:val="clear" w:color="auto" w:fill="FFFFFF" w:themeFill="background1"/>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ascii="Times New Roman" w:eastAsia="Times New Roman"/>
                      <w:szCs w:val="21"/>
                    </w:rPr>
                    <w:t>一般固废</w:t>
                  </w:r>
                </w:p>
              </w:tc>
            </w:tr>
          </w:tbl>
          <w:p>
            <w:pPr>
              <w:pStyle w:val="13"/>
              <w:keepNext w:val="0"/>
              <w:keepLines w:val="0"/>
              <w:widowControl/>
              <w:suppressLineNumbers w:val="0"/>
              <w:bidi w:val="0"/>
              <w:spacing w:before="0" w:beforeAutospacing="0" w:after="0" w:afterAutospacing="0"/>
              <w:ind w:left="0" w:right="0"/>
              <w:rPr>
                <w:rFonts w:hint="default"/>
              </w:rPr>
            </w:pPr>
            <w:r>
              <w:rPr>
                <w:rFonts w:hint="eastAsia"/>
              </w:rPr>
              <w:t>表4</w:t>
            </w:r>
            <w:r>
              <w:rPr>
                <w:rFonts w:hint="eastAsia"/>
                <w:lang w:val="en-US" w:eastAsia="zh-CN"/>
              </w:rPr>
              <w:t>-10</w:t>
            </w:r>
            <w:r>
              <w:rPr>
                <w:rFonts w:hint="default"/>
              </w:rPr>
              <w:t xml:space="preserve">  </w:t>
            </w:r>
            <w:r>
              <w:rPr>
                <w:rFonts w:hint="eastAsia"/>
              </w:rPr>
              <w:t>危险</w:t>
            </w:r>
            <w:r>
              <w:rPr>
                <w:rFonts w:hint="default"/>
              </w:rPr>
              <w:t>废物组成、产生量及处置情况</w:t>
            </w:r>
          </w:p>
          <w:tbl>
            <w:tblPr>
              <w:tblStyle w:val="25"/>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566"/>
              <w:gridCol w:w="566"/>
              <w:gridCol w:w="870"/>
              <w:gridCol w:w="1010"/>
              <w:gridCol w:w="660"/>
              <w:gridCol w:w="870"/>
              <w:gridCol w:w="566"/>
              <w:gridCol w:w="566"/>
              <w:gridCol w:w="566"/>
              <w:gridCol w:w="566"/>
              <w:gridCol w:w="566"/>
              <w:gridCol w:w="566"/>
              <w:gridCol w:w="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序号</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名称</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属性</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危险废物代码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年度产生量（吨）</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产生环节</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物理性状</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主要成分</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有害成分</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w:t>
                  </w:r>
                </w:p>
                <w:p>
                  <w:pPr>
                    <w:pStyle w:val="32"/>
                    <w:keepNext w:val="0"/>
                    <w:keepLines w:val="0"/>
                    <w:widowControl/>
                    <w:suppressLineNumbers w:val="0"/>
                    <w:spacing w:before="0" w:beforeAutospacing="0" w:afterAutospacing="0"/>
                    <w:ind w:left="0" w:right="0"/>
                    <w:rPr>
                      <w:rFonts w:hint="default"/>
                      <w:u w:val="single"/>
                    </w:rPr>
                  </w:pPr>
                  <w:r>
                    <w:rPr>
                      <w:rFonts w:hint="eastAsia"/>
                      <w:u w:val="single"/>
                    </w:rPr>
                    <w:t>特性</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储存方式</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利用处置方式和去向*</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处置</w:t>
                  </w:r>
                </w:p>
                <w:p>
                  <w:pPr>
                    <w:pStyle w:val="32"/>
                    <w:keepNext w:val="0"/>
                    <w:keepLines w:val="0"/>
                    <w:widowControl/>
                    <w:suppressLineNumbers w:val="0"/>
                    <w:spacing w:before="0" w:beforeAutospacing="0" w:afterAutospacing="0"/>
                    <w:ind w:left="0" w:right="0"/>
                    <w:rPr>
                      <w:rFonts w:hint="default"/>
                      <w:u w:val="single"/>
                    </w:rPr>
                  </w:pPr>
                  <w:r>
                    <w:rPr>
                      <w:rFonts w:hint="eastAsia"/>
                      <w:u w:val="single"/>
                    </w:rPr>
                    <w:t>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1</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废矿物油</w:t>
                  </w:r>
                </w:p>
              </w:tc>
              <w:tc>
                <w:tcPr>
                  <w:tcW w:w="385"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w:t>
                  </w:r>
                  <w:r>
                    <w:rPr>
                      <w:rFonts w:hint="default"/>
                      <w:u w:val="single"/>
                    </w:rPr>
                    <w:t>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HW08 900-217-08</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0.1</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生产加工</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液态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废矿物油</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废矿物油</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T</w:t>
                  </w:r>
                  <w:r>
                    <w:rPr>
                      <w:rFonts w:hint="eastAsia"/>
                      <w:u w:val="single"/>
                    </w:rPr>
                    <w:t>，</w:t>
                  </w:r>
                  <w:r>
                    <w:rPr>
                      <w:rFonts w:hint="default"/>
                      <w:u w:val="single"/>
                    </w:rPr>
                    <w:t>I</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暂存于危废暂存间</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有资质单位处理</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2</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废漆渣</w:t>
                  </w:r>
                </w:p>
              </w:tc>
              <w:tc>
                <w:tcPr>
                  <w:tcW w:w="385"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w:t>
                  </w:r>
                  <w:r>
                    <w:rPr>
                      <w:rFonts w:hint="default"/>
                      <w:u w:val="single"/>
                    </w:rPr>
                    <w:t>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HW12</w:t>
                  </w:r>
                </w:p>
                <w:p>
                  <w:pPr>
                    <w:pStyle w:val="32"/>
                    <w:keepNext w:val="0"/>
                    <w:keepLines w:val="0"/>
                    <w:widowControl/>
                    <w:suppressLineNumbers w:val="0"/>
                    <w:spacing w:before="0" w:beforeAutospacing="0" w:afterAutospacing="0"/>
                    <w:ind w:left="0" w:right="0"/>
                    <w:rPr>
                      <w:rFonts w:hint="default"/>
                      <w:u w:val="single"/>
                    </w:rPr>
                  </w:pPr>
                  <w:r>
                    <w:rPr>
                      <w:rFonts w:hint="default"/>
                      <w:u w:val="single"/>
                    </w:rPr>
                    <w:t>900-252-12</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0.036</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喷漆过程</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固态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废漆渣</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废漆渣</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 xml:space="preserve">T，I </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暂存于危废暂存间</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有资质单位处理</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0.036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3</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废漆桶、废稀释剂桶</w:t>
                  </w:r>
                </w:p>
              </w:tc>
              <w:tc>
                <w:tcPr>
                  <w:tcW w:w="385"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w:t>
                  </w:r>
                  <w:r>
                    <w:rPr>
                      <w:rFonts w:hint="default"/>
                      <w:u w:val="single"/>
                    </w:rPr>
                    <w:t>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HW49</w:t>
                  </w:r>
                </w:p>
                <w:p>
                  <w:pPr>
                    <w:pStyle w:val="32"/>
                    <w:keepNext w:val="0"/>
                    <w:keepLines w:val="0"/>
                    <w:widowControl/>
                    <w:suppressLineNumbers w:val="0"/>
                    <w:spacing w:before="0" w:beforeAutospacing="0" w:afterAutospacing="0"/>
                    <w:ind w:left="0" w:right="0"/>
                    <w:rPr>
                      <w:rFonts w:hint="default"/>
                      <w:u w:val="single"/>
                    </w:rPr>
                  </w:pPr>
                  <w:r>
                    <w:rPr>
                      <w:rFonts w:hint="default"/>
                      <w:u w:val="single"/>
                    </w:rPr>
                    <w:t>900-041-49</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0.625</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喷漆过程</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固态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废漆桶、废稀释剂桶</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废漆桶、废稀释剂桶</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 xml:space="preserve">T/In </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暂存于危废暂存间</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有资质单位处理</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0.625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4</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废活性炭</w:t>
                  </w:r>
                </w:p>
              </w:tc>
              <w:tc>
                <w:tcPr>
                  <w:tcW w:w="385"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w:t>
                  </w:r>
                  <w:r>
                    <w:rPr>
                      <w:rFonts w:hint="default"/>
                      <w:u w:val="single"/>
                    </w:rPr>
                    <w:t>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HW49 900-039-49</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2</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喷漆过程</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固态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废活性炭</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废活性炭</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T</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暂存于危废暂存间</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有资质单位处理</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5</w:t>
                  </w:r>
                </w:p>
              </w:tc>
              <w:tc>
                <w:tcPr>
                  <w:tcW w:w="385"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水帘柜更换废水</w:t>
                  </w:r>
                </w:p>
              </w:tc>
              <w:tc>
                <w:tcPr>
                  <w:tcW w:w="385"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危险</w:t>
                  </w:r>
                  <w:r>
                    <w:rPr>
                      <w:rFonts w:hint="default"/>
                      <w:u w:val="single"/>
                    </w:rPr>
                    <w:t>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HW12</w:t>
                  </w:r>
                </w:p>
                <w:p>
                  <w:pPr>
                    <w:pStyle w:val="32"/>
                    <w:keepNext w:val="0"/>
                    <w:keepLines w:val="0"/>
                    <w:widowControl/>
                    <w:suppressLineNumbers w:val="0"/>
                    <w:spacing w:before="0" w:beforeAutospacing="0" w:afterAutospacing="0"/>
                    <w:ind w:left="0" w:right="0"/>
                    <w:rPr>
                      <w:rFonts w:hint="default"/>
                      <w:u w:val="single"/>
                    </w:rPr>
                  </w:pPr>
                  <w:r>
                    <w:rPr>
                      <w:rFonts w:hint="default"/>
                      <w:u w:val="single"/>
                    </w:rPr>
                    <w:t>264-013-12</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12</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水帘柜</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液态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水帘柜更换废水</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水帘柜更换废水</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u w:val="single"/>
                    </w:rPr>
                    <w:t>T</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暂存于危废暂存间</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eastAsia"/>
                      <w:u w:val="single"/>
                    </w:rPr>
                    <w:t>有资质单位处理</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u w:val="single"/>
                    </w:rPr>
                  </w:pPr>
                  <w:r>
                    <w:rPr>
                      <w:rFonts w:hint="default" w:eastAsia="Times New Roman"/>
                      <w:szCs w:val="21"/>
                    </w:rPr>
                    <w:t>12</w:t>
                  </w:r>
                </w:p>
              </w:tc>
            </w:tr>
          </w:tbl>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根据《危险废物贮存污染控制标准》（GB 18597-2001）提出危废储存要求：</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必须将危险废物装入容器内，容器材质选择高密度聚乙烯或聚四氟乙烯或不锈钢。</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禁止将不相容（相互反应）的危险废物在同一容器内混装。</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无法装入常用容器的危险废物可用防漏胶袋等盛装。</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装载液体、半固体危险废物的容器内必须留足够空间，容器顶部与液体表面之间保留100mm以上的空间。</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盛装危险废物的容器上必须粘贴符合GB 18597-2001附录A所示的标签。</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应当使用符合标准的容器盛装危险废物。</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装载危险废物的容器及材质要满足相应的强度要求。</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装载危险废物的容器必须完好无损。</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盛装危险废物的容器材质和衬里要与危险废物相容（不相互反应）。</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液体危险废物可注入开孔直径不超过70mm并有放气孔的桶中。</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做好危险废物情况的记录，记录上须注明危险废物的名称、来源、数量、特性和包装容器的类别、入库日期、存放库位、危废出库日期及接受单位名称。</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危险废物的记录和货单在危险废物回取后应继续保留3年。</w:t>
            </w:r>
          </w:p>
          <w:p>
            <w:pPr>
              <w:keepNext w:val="0"/>
              <w:keepLines w:val="0"/>
              <w:widowControl/>
              <w:numPr>
                <w:ilvl w:val="0"/>
                <w:numId w:val="3"/>
              </w:numPr>
              <w:suppressLineNumbers w:val="0"/>
              <w:spacing w:before="0" w:beforeAutospacing="0" w:after="0" w:afterAutospacing="0"/>
              <w:ind w:right="0" w:firstLine="420"/>
              <w:rPr>
                <w:rFonts w:hint="default"/>
                <w:sz w:val="21"/>
                <w:szCs w:val="21"/>
              </w:rPr>
            </w:pPr>
            <w:r>
              <w:rPr>
                <w:rFonts w:hint="eastAsia"/>
                <w:sz w:val="21"/>
                <w:szCs w:val="21"/>
              </w:rPr>
              <w:t>必须定期对所贮存的危险废物包装容器及贮存设施进行检查，发现破碎，应及时采取措施清理更换。</w:t>
            </w:r>
          </w:p>
          <w:p>
            <w:pPr>
              <w:pStyle w:val="13"/>
              <w:keepNext w:val="0"/>
              <w:keepLines w:val="0"/>
              <w:pageBreakBefore w:val="0"/>
              <w:widowControl/>
              <w:suppressLineNumbers w:val="0"/>
              <w:kinsoku/>
              <w:wordWrap/>
              <w:overflowPunct/>
              <w:topLinePunct w:val="0"/>
              <w:autoSpaceDE/>
              <w:autoSpaceDN/>
              <w:bidi w:val="0"/>
              <w:adjustRightInd/>
              <w:snapToGrid/>
              <w:spacing w:before="0" w:beforeLines="0" w:beforeAutospacing="0" w:after="0" w:afterAutospacing="0"/>
              <w:ind w:left="0" w:right="0"/>
              <w:textAlignment w:val="auto"/>
              <w:rPr>
                <w:rFonts w:hint="default"/>
              </w:rPr>
            </w:pPr>
            <w:r>
              <w:rPr>
                <w:rFonts w:hint="eastAsia"/>
                <w:color w:val="auto"/>
                <w:sz w:val="21"/>
                <w:szCs w:val="21"/>
              </w:rPr>
              <w:t>表4</w:t>
            </w:r>
            <w:r>
              <w:rPr>
                <w:rFonts w:hint="eastAsia"/>
                <w:color w:val="auto"/>
                <w:sz w:val="21"/>
                <w:szCs w:val="21"/>
                <w:lang w:val="en-US" w:eastAsia="zh-CN"/>
              </w:rPr>
              <w:t>-11</w:t>
            </w:r>
            <w:r>
              <w:rPr>
                <w:rFonts w:hint="default"/>
              </w:rPr>
              <w:t xml:space="preserve"> </w:t>
            </w:r>
            <w:r>
              <w:rPr>
                <w:rFonts w:hint="eastAsia"/>
                <w:lang w:eastAsia="zh-CN"/>
              </w:rPr>
              <w:t>一般固废</w:t>
            </w:r>
            <w:r>
              <w:rPr>
                <w:rFonts w:hint="default"/>
              </w:rPr>
              <w:t>组成、产生量及处置情况</w:t>
            </w:r>
          </w:p>
          <w:tbl>
            <w:tblPr>
              <w:tblStyle w:val="25"/>
              <w:tblW w:w="81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286"/>
              <w:gridCol w:w="623"/>
              <w:gridCol w:w="1710"/>
              <w:gridCol w:w="454"/>
              <w:gridCol w:w="660"/>
              <w:gridCol w:w="870"/>
              <w:gridCol w:w="454"/>
              <w:gridCol w:w="454"/>
              <w:gridCol w:w="455"/>
              <w:gridCol w:w="1726"/>
              <w:gridCol w:w="5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281"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序号</w:t>
                  </w:r>
                </w:p>
              </w:tc>
              <w:tc>
                <w:tcPr>
                  <w:tcW w:w="4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名称</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属性</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类别代码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年度产生量（吨）</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产生环节</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物理性状</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主要成分</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储存方式</w:t>
                  </w:r>
                </w:p>
              </w:tc>
              <w:tc>
                <w:tcPr>
                  <w:tcW w:w="1159"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利用处置方式和去向*</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处置</w:t>
                  </w:r>
                </w:p>
                <w:p>
                  <w:pPr>
                    <w:pStyle w:val="32"/>
                    <w:keepNext w:val="0"/>
                    <w:keepLines w:val="0"/>
                    <w:widowControl/>
                    <w:suppressLineNumbers w:val="0"/>
                    <w:spacing w:before="0" w:beforeAutospacing="0" w:afterAutospacing="0"/>
                    <w:ind w:left="0" w:right="0"/>
                    <w:rPr>
                      <w:rFonts w:hint="default"/>
                    </w:rPr>
                  </w:pPr>
                  <w:r>
                    <w:rPr>
                      <w:rFonts w:hint="eastAsia"/>
                    </w:rPr>
                    <w:t>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281"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1</w:t>
                  </w:r>
                </w:p>
              </w:tc>
              <w:tc>
                <w:tcPr>
                  <w:tcW w:w="4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废边角料</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一般工业固体废物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54</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eastAsia="Times New Roman"/>
                      <w:szCs w:val="21"/>
                    </w:rPr>
                    <w:t>500</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加工过程</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固态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废边角料</w:t>
                  </w:r>
                </w:p>
              </w:tc>
              <w:tc>
                <w:tcPr>
                  <w:tcW w:w="384" w:type="pct"/>
                  <w:vMerge w:val="restar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u w:val="single"/>
                    </w:rPr>
                    <w:t>分类收集，暂存于一般固废暂存间</w:t>
                  </w:r>
                </w:p>
              </w:tc>
              <w:tc>
                <w:tcPr>
                  <w:tcW w:w="1159"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eastAsia="Times New Roman"/>
                      <w:szCs w:val="21"/>
                    </w:rPr>
                    <w:t>存放于车间废料区，定期清理，由相关单位集中收购</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eastAsia="Times New Roman"/>
                      <w:szCs w:val="21"/>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281"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2</w:t>
                  </w:r>
                </w:p>
              </w:tc>
              <w:tc>
                <w:tcPr>
                  <w:tcW w:w="4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焊渣</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一般工业固体废物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99</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eastAsia="Times New Roman"/>
                      <w:szCs w:val="21"/>
                    </w:rPr>
                    <w:t>22.7</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焊接工艺</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固态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rPr>
                    <w:t>焊渣</w:t>
                  </w:r>
                </w:p>
              </w:tc>
              <w:tc>
                <w:tcPr>
                  <w:tcW w:w="384" w:type="pct"/>
                  <w:vMerge w:val="continue"/>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1159"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eastAsia="Times New Roman"/>
                      <w:szCs w:val="21"/>
                    </w:rPr>
                    <w:t>焊渣先暂存于一般固废暂存间，由相关单位集中收购</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eastAsia="Times New Roman"/>
                      <w:szCs w:val="21"/>
                    </w:rPr>
                    <w:t>22.7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281"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3</w:t>
                  </w:r>
                </w:p>
              </w:tc>
              <w:tc>
                <w:tcPr>
                  <w:tcW w:w="4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水浴池捞渣</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一般工业固体废物</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66</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szCs w:val="21"/>
                    </w:rPr>
                    <w:t>0.134</w:t>
                  </w:r>
                </w:p>
              </w:tc>
              <w:tc>
                <w:tcPr>
                  <w:tcW w:w="384" w:type="pct"/>
                  <w:shd w:val="clear" w:color="auto" w:fill="auto"/>
                  <w:noWrap/>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水浴池</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固态</w:t>
                  </w:r>
                </w:p>
              </w:tc>
              <w:tc>
                <w:tcPr>
                  <w:tcW w:w="384"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rPr>
                    <w:t>水浴池捞渣</w:t>
                  </w:r>
                </w:p>
              </w:tc>
              <w:tc>
                <w:tcPr>
                  <w:tcW w:w="384" w:type="pct"/>
                  <w:vMerge w:val="continue"/>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p>
              </w:tc>
              <w:tc>
                <w:tcPr>
                  <w:tcW w:w="1159"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default" w:ascii="Times New Roman" w:eastAsia="Times New Roman"/>
                      <w:szCs w:val="21"/>
                    </w:rPr>
                    <w:t>先暂存于一般固废暂存间，由相关单位集中收购</w:t>
                  </w:r>
                </w:p>
              </w:tc>
              <w:tc>
                <w:tcPr>
                  <w:tcW w:w="387" w:type="pct"/>
                  <w:shd w:val="clear" w:color="auto" w:fill="auto"/>
                  <w:tcMar>
                    <w:top w:w="15" w:type="dxa"/>
                    <w:left w:w="15" w:type="dxa"/>
                    <w:right w:w="15" w:type="dxa"/>
                  </w:tcMar>
                  <w:vAlign w:val="center"/>
                </w:tcPr>
                <w:p>
                  <w:pPr>
                    <w:pStyle w:val="32"/>
                    <w:keepNext w:val="0"/>
                    <w:keepLines w:val="0"/>
                    <w:widowControl/>
                    <w:suppressLineNumbers w:val="0"/>
                    <w:spacing w:before="0" w:beforeAutospacing="0" w:afterAutospacing="0"/>
                    <w:ind w:left="0" w:right="0"/>
                    <w:rPr>
                      <w:rFonts w:hint="default"/>
                    </w:rPr>
                  </w:pPr>
                  <w:r>
                    <w:rPr>
                      <w:rFonts w:hint="eastAsia"/>
                      <w:szCs w:val="21"/>
                    </w:rPr>
                    <w:t>0.134</w:t>
                  </w:r>
                </w:p>
              </w:tc>
            </w:tr>
          </w:tbl>
          <w:p>
            <w:pPr>
              <w:keepNext w:val="0"/>
              <w:keepLines w:val="0"/>
              <w:widowControl/>
              <w:suppressLineNumbers w:val="0"/>
              <w:spacing w:before="0" w:beforeAutospacing="0" w:after="0" w:afterAutospacing="0"/>
              <w:ind w:left="480" w:leftChars="200" w:right="0" w:firstLine="0" w:firstLineChars="0"/>
              <w:rPr>
                <w:rFonts w:hint="default"/>
                <w:u w:val="single"/>
              </w:rPr>
            </w:pPr>
            <w:r>
              <w:rPr>
                <w:rFonts w:hint="eastAsia"/>
                <w:u w:val="single"/>
              </w:rPr>
              <w:t>注：类别代码来源于《一般固体废物分类与代码》（GB/T 39198-2020)。</w:t>
            </w:r>
          </w:p>
          <w:p>
            <w:pPr>
              <w:keepNext w:val="0"/>
              <w:keepLines w:val="0"/>
              <w:widowControl/>
              <w:suppressLineNumbers w:val="0"/>
              <w:spacing w:before="0" w:beforeAutospacing="0" w:after="0" w:afterAutospacing="0"/>
              <w:ind w:left="480" w:leftChars="200" w:right="0" w:firstLine="0" w:firstLineChars="0"/>
              <w:rPr>
                <w:rFonts w:hint="default"/>
                <w:u w:val="single"/>
              </w:rPr>
            </w:pPr>
          </w:p>
          <w:p>
            <w:pPr>
              <w:keepNext w:val="0"/>
              <w:keepLines w:val="0"/>
              <w:widowControl/>
              <w:suppressLineNumbers w:val="0"/>
              <w:spacing w:before="0" w:beforeAutospacing="0" w:after="0" w:afterAutospacing="0"/>
              <w:ind w:left="0" w:right="0" w:firstLine="413" w:firstLineChars="196"/>
              <w:rPr>
                <w:rFonts w:hint="default" w:cs="Times New Roman"/>
                <w:b/>
                <w:sz w:val="21"/>
                <w:szCs w:val="21"/>
              </w:rPr>
            </w:pPr>
            <w:r>
              <w:rPr>
                <w:rFonts w:hint="eastAsia" w:cs="Times New Roman"/>
                <w:b/>
                <w:sz w:val="21"/>
                <w:szCs w:val="21"/>
              </w:rPr>
              <w:t>4.2.5土壤环境影响分析</w:t>
            </w:r>
          </w:p>
          <w:p>
            <w:pPr>
              <w:keepNext w:val="0"/>
              <w:keepLines w:val="0"/>
              <w:widowControl/>
              <w:suppressLineNumbers w:val="0"/>
              <w:spacing w:before="0" w:beforeAutospacing="0" w:after="0" w:afterAutospacing="0"/>
              <w:ind w:left="0" w:right="0" w:firstLine="420"/>
              <w:rPr>
                <w:rFonts w:hint="default" w:cs="Times New Roman" w:eastAsiaTheme="minorEastAsia"/>
                <w:sz w:val="21"/>
                <w:szCs w:val="21"/>
                <w:u w:val="single"/>
              </w:rPr>
            </w:pPr>
            <w:r>
              <w:rPr>
                <w:rFonts w:hint="eastAsia"/>
                <w:sz w:val="21"/>
                <w:szCs w:val="21"/>
                <w:u w:val="single"/>
              </w:rPr>
              <w:t>根据《环境影响评价技术导则 土壤环境（试行）》（HJ 964—2018），本项目属于土壤导则制造业中“设备制造、金属制品、汽车制造及其他用品制造”中“使用有机涂层的（喷粉、喷塑和电泳除外）”，应属于Ⅰ类项目。</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default"/>
                <w:sz w:val="21"/>
                <w:szCs w:val="21"/>
                <w:u w:val="single"/>
              </w:rPr>
              <w:t>本项目项目总用地</w:t>
            </w:r>
            <w:r>
              <w:rPr>
                <w:rFonts w:hint="eastAsia" w:cs="Times New Roman"/>
                <w:sz w:val="21"/>
                <w:szCs w:val="21"/>
                <w:u w:val="single"/>
                <w:lang w:eastAsia="zh-CN"/>
              </w:rPr>
              <w:t>66249.81</w:t>
            </w:r>
            <w:r>
              <w:rPr>
                <w:rFonts w:hint="default"/>
                <w:sz w:val="21"/>
                <w:szCs w:val="21"/>
                <w:u w:val="single"/>
              </w:rPr>
              <w:t>平方米，将建设项目占地规模分为大型（≥50 h</w:t>
            </w:r>
            <w:r>
              <w:rPr>
                <w:rFonts w:hint="eastAsia"/>
                <w:sz w:val="21"/>
                <w:szCs w:val="21"/>
                <w:u w:val="single"/>
              </w:rPr>
              <w:t>㎡</w:t>
            </w:r>
            <w:r>
              <w:rPr>
                <w:rFonts w:hint="default"/>
                <w:sz w:val="21"/>
                <w:szCs w:val="21"/>
                <w:u w:val="single"/>
              </w:rPr>
              <w:t>）、中型（5~50 h</w:t>
            </w:r>
            <w:r>
              <w:rPr>
                <w:rFonts w:hint="eastAsia"/>
                <w:sz w:val="21"/>
                <w:szCs w:val="21"/>
                <w:u w:val="single"/>
              </w:rPr>
              <w:t>㎡</w:t>
            </w:r>
            <w:r>
              <w:rPr>
                <w:rFonts w:hint="default"/>
                <w:sz w:val="21"/>
                <w:szCs w:val="21"/>
                <w:u w:val="single"/>
              </w:rPr>
              <w:t>）、小型（≤5 h</w:t>
            </w:r>
            <w:r>
              <w:rPr>
                <w:rFonts w:hint="eastAsia"/>
                <w:sz w:val="21"/>
                <w:szCs w:val="21"/>
                <w:u w:val="single"/>
              </w:rPr>
              <w:t>㎡</w:t>
            </w:r>
            <w:r>
              <w:rPr>
                <w:rFonts w:hint="default"/>
                <w:sz w:val="21"/>
                <w:szCs w:val="21"/>
                <w:u w:val="single"/>
              </w:rPr>
              <w:t>），可判定本项目为</w:t>
            </w:r>
            <w:r>
              <w:rPr>
                <w:rFonts w:hint="eastAsia"/>
                <w:sz w:val="21"/>
                <w:szCs w:val="21"/>
                <w:u w:val="single"/>
              </w:rPr>
              <w:t>中</w:t>
            </w:r>
            <w:r>
              <w:rPr>
                <w:rFonts w:hint="default"/>
                <w:sz w:val="21"/>
                <w:szCs w:val="21"/>
                <w:u w:val="single"/>
              </w:rPr>
              <w:t>型占地规模。</w:t>
            </w:r>
          </w:p>
          <w:p>
            <w:pPr>
              <w:keepNext w:val="0"/>
              <w:keepLines w:val="0"/>
              <w:widowControl/>
              <w:suppressLineNumbers w:val="0"/>
              <w:spacing w:before="0" w:beforeAutospacing="0" w:after="0" w:afterAutospacing="0"/>
              <w:ind w:left="0" w:right="0" w:firstLine="420"/>
              <w:rPr>
                <w:rFonts w:hint="default"/>
                <w:sz w:val="21"/>
                <w:szCs w:val="21"/>
                <w:u w:val="single"/>
              </w:rPr>
            </w:pPr>
            <w:r>
              <w:rPr>
                <w:rFonts w:hint="default"/>
                <w:sz w:val="21"/>
                <w:szCs w:val="21"/>
                <w:u w:val="single"/>
              </w:rPr>
              <w:t>根据HJ 964—2018中的表3，可判定本项目为</w:t>
            </w:r>
            <w:r>
              <w:rPr>
                <w:rFonts w:hint="eastAsia"/>
                <w:sz w:val="21"/>
                <w:szCs w:val="21"/>
                <w:u w:val="single"/>
              </w:rPr>
              <w:t>不</w:t>
            </w:r>
            <w:r>
              <w:rPr>
                <w:rFonts w:hint="default"/>
                <w:sz w:val="21"/>
                <w:szCs w:val="21"/>
                <w:u w:val="single"/>
              </w:rPr>
              <w:t>敏感。</w:t>
            </w:r>
          </w:p>
          <w:p>
            <w:pPr>
              <w:keepNext w:val="0"/>
              <w:keepLines w:val="0"/>
              <w:widowControl/>
              <w:suppressLineNumbers w:val="0"/>
              <w:spacing w:before="0" w:beforeAutospacing="0" w:after="0" w:afterAutospacing="0"/>
              <w:ind w:left="0" w:right="0" w:firstLine="0" w:firstLineChars="0"/>
              <w:jc w:val="center"/>
              <w:rPr>
                <w:rFonts w:hint="default"/>
                <w:sz w:val="21"/>
                <w:szCs w:val="21"/>
                <w:u w:val="single"/>
              </w:rPr>
            </w:pPr>
            <w:r>
              <w:rPr>
                <w:rFonts w:hint="default"/>
                <w:sz w:val="21"/>
                <w:szCs w:val="21"/>
                <w:u w:val="single"/>
              </w:rPr>
              <w:drawing>
                <wp:inline distT="0" distB="0" distL="114300" distR="114300">
                  <wp:extent cx="5043805" cy="1246505"/>
                  <wp:effectExtent l="0" t="0" r="4445" b="1079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32"/>
                          <a:stretch>
                            <a:fillRect/>
                          </a:stretch>
                        </pic:blipFill>
                        <pic:spPr>
                          <a:xfrm>
                            <a:off x="0" y="0"/>
                            <a:ext cx="5043805" cy="1246505"/>
                          </a:xfrm>
                          <a:prstGeom prst="rect">
                            <a:avLst/>
                          </a:prstGeom>
                          <a:noFill/>
                          <a:ln>
                            <a:noFill/>
                          </a:ln>
                        </pic:spPr>
                      </pic:pic>
                    </a:graphicData>
                  </a:graphic>
                </wp:inline>
              </w:drawing>
            </w:r>
          </w:p>
          <w:p>
            <w:pPr>
              <w:pStyle w:val="15"/>
              <w:keepNext w:val="0"/>
              <w:keepLines w:val="0"/>
              <w:widowControl/>
              <w:suppressLineNumbers w:val="0"/>
              <w:adjustRightInd/>
              <w:snapToGrid/>
              <w:spacing w:before="0" w:beforeAutospacing="0" w:after="0" w:afterAutospacing="0"/>
              <w:ind w:left="0" w:right="0" w:firstLine="0" w:firstLineChars="0"/>
              <w:jc w:val="center"/>
              <w:rPr>
                <w:rFonts w:hint="default" w:cs="Times New Roman"/>
                <w:sz w:val="21"/>
                <w:szCs w:val="21"/>
                <w:u w:val="single"/>
              </w:rPr>
            </w:pPr>
            <w:r>
              <w:rPr>
                <w:rFonts w:hint="default"/>
                <w:sz w:val="21"/>
                <w:szCs w:val="21"/>
                <w:u w:val="single"/>
              </w:rPr>
              <w:drawing>
                <wp:inline distT="0" distB="0" distL="114300" distR="114300">
                  <wp:extent cx="5074920" cy="1553845"/>
                  <wp:effectExtent l="0" t="0" r="11430" b="825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33"/>
                          <a:stretch>
                            <a:fillRect/>
                          </a:stretch>
                        </pic:blipFill>
                        <pic:spPr>
                          <a:xfrm>
                            <a:off x="0" y="0"/>
                            <a:ext cx="5074920" cy="1553845"/>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firstLine="420"/>
              <w:rPr>
                <w:rFonts w:hint="default"/>
                <w:sz w:val="21"/>
                <w:szCs w:val="21"/>
              </w:rPr>
            </w:pPr>
            <w:r>
              <w:rPr>
                <w:rFonts w:hint="default"/>
                <w:sz w:val="21"/>
                <w:szCs w:val="21"/>
                <w:u w:val="single"/>
              </w:rPr>
              <w:t>根据HJ 964—2018中的表4，本项目为</w:t>
            </w:r>
            <w:r>
              <w:rPr>
                <w:rFonts w:hint="eastAsia" w:cs="Times New Roman"/>
                <w:kern w:val="2"/>
                <w:sz w:val="21"/>
                <w:szCs w:val="21"/>
                <w:u w:val="single"/>
                <w:lang w:bidi="ar"/>
              </w:rPr>
              <w:t>Ⅰ</w:t>
            </w:r>
            <w:r>
              <w:rPr>
                <w:rFonts w:hint="default"/>
                <w:sz w:val="21"/>
                <w:szCs w:val="21"/>
                <w:u w:val="single"/>
              </w:rPr>
              <w:t>类项目的，可判定本项目为</w:t>
            </w:r>
            <w:r>
              <w:rPr>
                <w:rFonts w:hint="eastAsia"/>
                <w:sz w:val="21"/>
                <w:szCs w:val="21"/>
                <w:u w:val="single"/>
              </w:rPr>
              <w:t>二</w:t>
            </w:r>
            <w:r>
              <w:rPr>
                <w:rFonts w:hint="default"/>
                <w:sz w:val="21"/>
                <w:szCs w:val="21"/>
                <w:u w:val="single"/>
              </w:rPr>
              <w:t>级评价。</w:t>
            </w:r>
          </w:p>
          <w:p>
            <w:pPr>
              <w:pStyle w:val="15"/>
              <w:keepNext w:val="0"/>
              <w:keepLines w:val="0"/>
              <w:widowControl/>
              <w:suppressLineNumbers w:val="0"/>
              <w:spacing w:before="0" w:beforeAutospacing="0" w:afterAutospacing="0"/>
              <w:ind w:left="0" w:right="0" w:firstLine="420"/>
              <w:rPr>
                <w:rFonts w:hint="default"/>
                <w:sz w:val="21"/>
                <w:szCs w:val="21"/>
                <w:u w:val="single"/>
              </w:rPr>
            </w:pPr>
            <w:r>
              <w:rPr>
                <w:rFonts w:hint="eastAsia"/>
                <w:sz w:val="21"/>
                <w:szCs w:val="21"/>
                <w:u w:val="single"/>
              </w:rPr>
              <w:t>根据《建设项目环境影响报告表编制技术指南（污染影响类）（试行）》，中“原则上不开展环境质量现状调查。建设项目存在土壤、地下水环境污染途径的，应结合污染源、保护目标分布情况开展现状调查以留作背景值。”本项目对喷漆房及危废暂存间按重点防渗区进行防渗，不会对土壤造成污染，没有土壤环境污染途径，因此不开展环境质量现状调查。</w:t>
            </w:r>
          </w:p>
          <w:p>
            <w:pPr>
              <w:keepNext w:val="0"/>
              <w:keepLines w:val="0"/>
              <w:widowControl/>
              <w:suppressLineNumbers w:val="0"/>
              <w:spacing w:before="0" w:beforeAutospacing="0" w:after="0" w:afterAutospacing="0"/>
              <w:ind w:left="0" w:right="0" w:firstLine="422"/>
              <w:rPr>
                <w:rFonts w:hint="default" w:cs="Times New Roman"/>
                <w:b/>
                <w:sz w:val="21"/>
                <w:szCs w:val="21"/>
              </w:rPr>
            </w:pPr>
            <w:r>
              <w:rPr>
                <w:rFonts w:hint="eastAsia" w:cs="Times New Roman"/>
                <w:b/>
                <w:sz w:val="21"/>
                <w:szCs w:val="21"/>
              </w:rPr>
              <w:t>4.2.6地下水环境影响分析</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根据《环境影响评价技术导则 地下水环境》（HJ 610-2016）中的附录A，本项目属于Ⅳ类项目，Ⅳ类建设项目不开展地下水环境影响评价。</w:t>
            </w:r>
          </w:p>
          <w:p>
            <w:pPr>
              <w:pStyle w:val="15"/>
              <w:keepNext w:val="0"/>
              <w:keepLines w:val="0"/>
              <w:widowControl/>
              <w:suppressLineNumbers w:val="0"/>
              <w:spacing w:before="0" w:beforeAutospacing="0" w:afterAutospacing="0"/>
              <w:ind w:left="0" w:right="0" w:firstLine="420"/>
              <w:rPr>
                <w:rFonts w:hint="default"/>
                <w:sz w:val="21"/>
                <w:szCs w:val="21"/>
              </w:rPr>
            </w:pPr>
          </w:p>
          <w:p>
            <w:pPr>
              <w:keepNext w:val="0"/>
              <w:keepLines w:val="0"/>
              <w:widowControl/>
              <w:suppressLineNumbers w:val="0"/>
              <w:spacing w:before="0" w:beforeAutospacing="0" w:after="0" w:afterAutospacing="0"/>
              <w:ind w:left="0" w:right="0" w:firstLine="422"/>
              <w:rPr>
                <w:rFonts w:hint="default" w:cs="Times New Roman" w:eastAsiaTheme="minorEastAsia"/>
                <w:b/>
                <w:sz w:val="21"/>
                <w:szCs w:val="21"/>
              </w:rPr>
            </w:pPr>
            <w:r>
              <w:rPr>
                <w:rFonts w:hint="eastAsia" w:cs="Times New Roman"/>
                <w:b/>
                <w:sz w:val="21"/>
                <w:szCs w:val="21"/>
              </w:rPr>
              <w:t>4</w:t>
            </w:r>
            <w:r>
              <w:rPr>
                <w:rFonts w:hint="default" w:eastAsia="Times New Roman" w:cs="Times New Roman"/>
                <w:b/>
                <w:sz w:val="21"/>
                <w:szCs w:val="21"/>
              </w:rPr>
              <w:t>.</w:t>
            </w:r>
            <w:r>
              <w:rPr>
                <w:rFonts w:hint="default" w:cs="Times New Roman" w:eastAsiaTheme="minorEastAsia"/>
                <w:b/>
                <w:sz w:val="21"/>
                <w:szCs w:val="21"/>
              </w:rPr>
              <w:t>3环境风险影响分析</w:t>
            </w:r>
          </w:p>
          <w:p>
            <w:pPr>
              <w:keepNext w:val="0"/>
              <w:keepLines w:val="0"/>
              <w:widowControl w:val="0"/>
              <w:suppressLineNumbers w:val="0"/>
              <w:spacing w:before="0" w:beforeAutospacing="0" w:after="0" w:afterAutospacing="0"/>
              <w:ind w:left="0" w:right="0" w:firstLine="420"/>
              <w:jc w:val="both"/>
              <w:rPr>
                <w:rFonts w:hint="default"/>
                <w:sz w:val="21"/>
                <w:szCs w:val="21"/>
              </w:rPr>
            </w:pPr>
            <w:r>
              <w:rPr>
                <w:rFonts w:hint="eastAsia" w:cs="宋体"/>
                <w:sz w:val="21"/>
                <w:szCs w:val="21"/>
                <w:lang w:bidi="ar"/>
              </w:rPr>
              <w:t>环境风险是指突发性事故造成的重大环境污染的事件，其特点是危害大、影响范围广、发生概率具有很大的不确定性。环境风险评价的目的是分析和预测项目存在的潜在危险、有害因素，项目建设和运行期间可能发生的突发性事件或事故</w:t>
            </w:r>
            <w:r>
              <w:rPr>
                <w:rFonts w:hint="default" w:cs="Times New Roman"/>
                <w:sz w:val="21"/>
                <w:szCs w:val="21"/>
                <w:lang w:bidi="ar"/>
              </w:rPr>
              <w:t>(</w:t>
            </w:r>
            <w:r>
              <w:rPr>
                <w:rFonts w:hint="eastAsia" w:cs="宋体"/>
                <w:sz w:val="21"/>
                <w:szCs w:val="21"/>
                <w:lang w:bidi="ar"/>
              </w:rPr>
              <w:t>一般不包括人为破坏及自然灾害</w:t>
            </w:r>
            <w:r>
              <w:rPr>
                <w:rFonts w:hint="default" w:cs="Times New Roman"/>
                <w:sz w:val="21"/>
                <w:szCs w:val="21"/>
                <w:lang w:bidi="ar"/>
              </w:rPr>
              <w:t>)</w:t>
            </w:r>
            <w:r>
              <w:rPr>
                <w:rFonts w:hint="eastAsia" w:cs="宋体"/>
                <w:sz w:val="21"/>
                <w:szCs w:val="21"/>
                <w:lang w:bidi="ar"/>
              </w:rPr>
              <w:t>，引起有毒有害和易燃易爆等物质泄漏，所造成的人身安全、环境影响及其损害程度，提出合理可行的防范、应急与减缓措施，以使建设项目事故率、损失和环境影响达到可接受水平。</w:t>
            </w:r>
          </w:p>
          <w:p>
            <w:pPr>
              <w:keepNext w:val="0"/>
              <w:keepLines w:val="0"/>
              <w:widowControl w:val="0"/>
              <w:suppressLineNumbers w:val="0"/>
              <w:spacing w:before="0" w:beforeAutospacing="0" w:after="0" w:afterAutospacing="0"/>
              <w:ind w:left="0" w:right="0" w:firstLine="420"/>
              <w:jc w:val="both"/>
              <w:rPr>
                <w:rFonts w:hint="default"/>
                <w:sz w:val="21"/>
                <w:szCs w:val="21"/>
              </w:rPr>
            </w:pPr>
            <w:r>
              <w:rPr>
                <w:rFonts w:hint="eastAsia" w:cs="宋体"/>
                <w:sz w:val="21"/>
                <w:szCs w:val="21"/>
                <w:lang w:bidi="ar"/>
              </w:rPr>
              <w:t>本次评价以《建设项目环境风险评价技术导则》</w:t>
            </w:r>
            <w:r>
              <w:rPr>
                <w:rFonts w:hint="default" w:cs="Times New Roman"/>
                <w:sz w:val="21"/>
                <w:szCs w:val="21"/>
                <w:lang w:bidi="ar"/>
              </w:rPr>
              <w:t>(HJ169-2018)</w:t>
            </w:r>
            <w:r>
              <w:rPr>
                <w:rFonts w:hint="eastAsia" w:cs="宋体"/>
                <w:sz w:val="21"/>
                <w:szCs w:val="21"/>
                <w:lang w:bidi="ar"/>
              </w:rPr>
              <w:t>为指导，对本项目的环境风险进行梳理和评价，针对可能存在的环</w:t>
            </w:r>
            <w:r>
              <w:rPr>
                <w:rFonts w:hint="eastAsia"/>
                <w:sz w:val="21"/>
                <w:szCs w:val="21"/>
              </w:rPr>
              <w:t>境风险隐患，提出相应的补救或完善措施；并对该项目进行风险识别和源项分析，进行风险计算和评价，提出减缓风险的措施和应急预案，为环境管理提供资料和依据，达到降低危险、减少危害的目的。</w:t>
            </w:r>
          </w:p>
          <w:p>
            <w:pPr>
              <w:keepNext w:val="0"/>
              <w:keepLines w:val="0"/>
              <w:widowControl/>
              <w:suppressLineNumbers w:val="0"/>
              <w:spacing w:before="0" w:beforeAutospacing="0" w:after="0" w:afterAutospacing="0"/>
              <w:ind w:left="0" w:right="0" w:firstLine="420"/>
              <w:rPr>
                <w:rFonts w:hint="default" w:cs="Times New Roman"/>
                <w:bCs/>
                <w:sz w:val="21"/>
                <w:szCs w:val="21"/>
              </w:rPr>
            </w:pPr>
            <w:r>
              <w:rPr>
                <w:rFonts w:hint="eastAsia"/>
                <w:sz w:val="21"/>
                <w:szCs w:val="21"/>
              </w:rPr>
              <w:t>根据《建设项目环境风险评价技术导则》</w:t>
            </w:r>
            <w:r>
              <w:rPr>
                <w:rFonts w:hint="default"/>
                <w:sz w:val="21"/>
                <w:szCs w:val="21"/>
              </w:rPr>
              <w:t>(HJ169-2018)</w:t>
            </w:r>
            <w:r>
              <w:rPr>
                <w:rFonts w:hint="eastAsia"/>
                <w:sz w:val="21"/>
                <w:szCs w:val="21"/>
              </w:rPr>
              <w:t>中“表 B.1 突发环境事件风险物质及临界量”，本项目不存在健康危险急性毒性物质（类别 1）、健康危险急性毒性物质（类别 2，类别 3）、危害水环境物质（急性毒性类别 1）和表B.1中的环境事</w:t>
            </w:r>
            <w:r>
              <w:rPr>
                <w:rFonts w:hint="eastAsia" w:cs="宋体"/>
                <w:kern w:val="2"/>
                <w:sz w:val="21"/>
                <w:szCs w:val="21"/>
                <w:lang w:bidi="ar"/>
              </w:rPr>
              <w:t>件风险物质。</w:t>
            </w:r>
          </w:p>
          <w:p>
            <w:pPr>
              <w:keepNext w:val="0"/>
              <w:keepLines w:val="0"/>
              <w:widowControl w:val="0"/>
              <w:suppressLineNumbers w:val="0"/>
              <w:spacing w:before="0" w:beforeAutospacing="0" w:after="0" w:afterAutospacing="0"/>
              <w:ind w:left="0" w:right="0" w:firstLine="420"/>
              <w:jc w:val="both"/>
              <w:rPr>
                <w:rFonts w:hint="default"/>
                <w:sz w:val="21"/>
                <w:szCs w:val="21"/>
              </w:rPr>
            </w:pPr>
            <w:bookmarkStart w:id="22" w:name="_Toc7080042"/>
            <w:bookmarkStart w:id="23" w:name="_Toc9435350"/>
            <w:bookmarkStart w:id="24" w:name="_Toc13074013"/>
            <w:r>
              <w:rPr>
                <w:rFonts w:hint="eastAsia" w:cs="宋体"/>
                <w:kern w:val="2"/>
                <w:sz w:val="21"/>
                <w:szCs w:val="21"/>
                <w:lang w:bidi="ar"/>
              </w:rPr>
              <w:t>按照《建设项目环境风险评价技术导则》</w:t>
            </w:r>
            <w:r>
              <w:rPr>
                <w:rFonts w:hint="default" w:cs="Times New Roman"/>
                <w:kern w:val="2"/>
                <w:sz w:val="21"/>
                <w:szCs w:val="21"/>
                <w:lang w:bidi="ar"/>
              </w:rPr>
              <w:t>HJ169-2018</w:t>
            </w:r>
            <w:r>
              <w:rPr>
                <w:rFonts w:hint="eastAsia" w:cs="宋体"/>
                <w:kern w:val="2"/>
                <w:sz w:val="21"/>
                <w:szCs w:val="21"/>
                <w:lang w:bidi="ar"/>
              </w:rPr>
              <w:t>附录</w:t>
            </w:r>
            <w:r>
              <w:rPr>
                <w:rFonts w:hint="default" w:cs="Times New Roman"/>
                <w:kern w:val="2"/>
                <w:sz w:val="21"/>
                <w:szCs w:val="21"/>
                <w:lang w:bidi="ar"/>
              </w:rPr>
              <w:t xml:space="preserve"> C </w:t>
            </w:r>
            <w:r>
              <w:rPr>
                <w:rFonts w:hint="eastAsia" w:cs="宋体"/>
                <w:kern w:val="2"/>
                <w:sz w:val="21"/>
                <w:szCs w:val="21"/>
                <w:lang w:bidi="ar"/>
              </w:rPr>
              <w:t>危险物质及工艺系统危险性（</w:t>
            </w:r>
            <w:r>
              <w:rPr>
                <w:rFonts w:hint="default" w:cs="Times New Roman"/>
                <w:kern w:val="2"/>
                <w:sz w:val="21"/>
                <w:szCs w:val="21"/>
                <w:lang w:bidi="ar"/>
              </w:rPr>
              <w:t>P</w:t>
            </w:r>
            <w:r>
              <w:rPr>
                <w:rFonts w:hint="eastAsia" w:cs="宋体"/>
                <w:kern w:val="2"/>
                <w:sz w:val="21"/>
                <w:szCs w:val="21"/>
                <w:lang w:bidi="ar"/>
              </w:rPr>
              <w:t>）分级计算所涉及的每种危险物质在厂界内的最大存在总量与其在附录</w:t>
            </w:r>
            <w:r>
              <w:rPr>
                <w:rFonts w:hint="default" w:cs="Times New Roman"/>
                <w:kern w:val="2"/>
                <w:sz w:val="21"/>
                <w:szCs w:val="21"/>
                <w:lang w:bidi="ar"/>
              </w:rPr>
              <w:t xml:space="preserve"> B </w:t>
            </w:r>
            <w:r>
              <w:rPr>
                <w:rFonts w:hint="eastAsia" w:cs="宋体"/>
                <w:kern w:val="2"/>
                <w:sz w:val="21"/>
                <w:szCs w:val="21"/>
                <w:lang w:bidi="ar"/>
              </w:rPr>
              <w:t>中对应临界量的比值</w:t>
            </w:r>
            <w:r>
              <w:rPr>
                <w:rFonts w:hint="default" w:cs="Times New Roman"/>
                <w:kern w:val="2"/>
                <w:sz w:val="21"/>
                <w:szCs w:val="21"/>
                <w:lang w:bidi="ar"/>
              </w:rPr>
              <w:t xml:space="preserve"> Q</w:t>
            </w:r>
            <w:r>
              <w:rPr>
                <w:rFonts w:hint="eastAsia" w:cs="宋体"/>
                <w:kern w:val="2"/>
                <w:sz w:val="21"/>
                <w:szCs w:val="21"/>
                <w:lang w:bidi="ar"/>
              </w:rPr>
              <w:t>。在不同厂区的同一种物质，按其在厂界内的最大存在总量计算。</w:t>
            </w:r>
            <w:r>
              <w:rPr>
                <w:rFonts w:hint="default" w:cs="Times New Roman"/>
                <w:kern w:val="2"/>
                <w:sz w:val="21"/>
                <w:szCs w:val="21"/>
                <w:lang w:bidi="ar"/>
              </w:rPr>
              <w:t xml:space="preserve"> </w:t>
            </w:r>
          </w:p>
          <w:p>
            <w:pPr>
              <w:keepNext w:val="0"/>
              <w:keepLines w:val="0"/>
              <w:widowControl w:val="0"/>
              <w:suppressLineNumbers w:val="0"/>
              <w:spacing w:before="0" w:beforeAutospacing="0" w:after="0" w:afterAutospacing="0"/>
              <w:ind w:left="0" w:right="0" w:firstLine="420"/>
              <w:jc w:val="both"/>
              <w:rPr>
                <w:rFonts w:hint="default"/>
                <w:sz w:val="21"/>
                <w:szCs w:val="21"/>
              </w:rPr>
            </w:pPr>
            <w:r>
              <w:rPr>
                <w:rFonts w:hint="eastAsia" w:cs="宋体"/>
                <w:kern w:val="2"/>
                <w:sz w:val="21"/>
                <w:szCs w:val="21"/>
                <w:lang w:bidi="ar"/>
              </w:rPr>
              <w:t>当存在多种危险物质时，则按下式计算物质总量与其临界量比值</w:t>
            </w:r>
          </w:p>
          <w:p>
            <w:pPr>
              <w:keepNext w:val="0"/>
              <w:keepLines w:val="0"/>
              <w:widowControl w:val="0"/>
              <w:suppressLineNumbers w:val="0"/>
              <w:spacing w:before="0" w:beforeAutospacing="0" w:after="0" w:afterAutospacing="0"/>
              <w:ind w:left="0" w:right="0" w:firstLine="0" w:firstLineChars="0"/>
              <w:jc w:val="center"/>
              <w:rPr>
                <w:rFonts w:hint="default"/>
                <w:sz w:val="21"/>
                <w:szCs w:val="21"/>
              </w:rPr>
            </w:pPr>
            <w:r>
              <w:rPr>
                <w:rFonts w:hint="default" w:cs="Times New Roman"/>
                <w:kern w:val="2"/>
                <w:sz w:val="21"/>
                <w:szCs w:val="21"/>
                <w:lang w:bidi="ar"/>
              </w:rPr>
              <w:drawing>
                <wp:inline distT="0" distB="0" distL="114300" distR="114300">
                  <wp:extent cx="5240655" cy="2019935"/>
                  <wp:effectExtent l="0" t="0" r="17145" b="18415"/>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34"/>
                          <a:stretch>
                            <a:fillRect/>
                          </a:stretch>
                        </pic:blipFill>
                        <pic:spPr>
                          <a:xfrm>
                            <a:off x="0" y="0"/>
                            <a:ext cx="5240655" cy="2019935"/>
                          </a:xfrm>
                          <a:prstGeom prst="rect">
                            <a:avLst/>
                          </a:prstGeom>
                          <a:noFill/>
                          <a:ln>
                            <a:noFill/>
                          </a:ln>
                        </pic:spPr>
                      </pic:pic>
                    </a:graphicData>
                  </a:graphic>
                </wp:inline>
              </w:drawing>
            </w:r>
          </w:p>
          <w:p>
            <w:pPr>
              <w:keepNext w:val="0"/>
              <w:keepLines w:val="0"/>
              <w:widowControl/>
              <w:suppressLineNumbers w:val="0"/>
              <w:spacing w:before="0" w:beforeAutospacing="0" w:after="200" w:afterAutospacing="0"/>
              <w:ind w:left="0" w:right="0" w:firstLine="420"/>
              <w:rPr>
                <w:rFonts w:hint="default"/>
                <w:sz w:val="21"/>
                <w:szCs w:val="21"/>
              </w:rPr>
            </w:pPr>
            <w:r>
              <w:rPr>
                <w:rFonts w:hint="eastAsia" w:cs="宋体"/>
                <w:kern w:val="2"/>
                <w:sz w:val="21"/>
                <w:szCs w:val="21"/>
                <w:lang w:bidi="ar"/>
              </w:rPr>
              <w:t>根据《建设项目环境风险评价技术导则》（</w:t>
            </w:r>
            <w:r>
              <w:rPr>
                <w:rFonts w:hint="default" w:cs="Times New Roman"/>
                <w:kern w:val="2"/>
                <w:sz w:val="21"/>
                <w:szCs w:val="21"/>
                <w:lang w:bidi="ar"/>
              </w:rPr>
              <w:t>HJ169-2018</w:t>
            </w:r>
            <w:r>
              <w:rPr>
                <w:rFonts w:hint="eastAsia" w:cs="宋体"/>
                <w:kern w:val="2"/>
                <w:sz w:val="21"/>
                <w:szCs w:val="21"/>
                <w:lang w:bidi="ar"/>
              </w:rPr>
              <w:t>）附录</w:t>
            </w:r>
            <w:r>
              <w:rPr>
                <w:rFonts w:hint="default" w:cs="Times New Roman"/>
                <w:kern w:val="2"/>
                <w:sz w:val="21"/>
                <w:szCs w:val="21"/>
                <w:lang w:bidi="ar"/>
              </w:rPr>
              <w:t xml:space="preserve"> B </w:t>
            </w:r>
            <w:r>
              <w:rPr>
                <w:rFonts w:hint="eastAsia" w:cs="Times New Roman"/>
                <w:kern w:val="2"/>
                <w:sz w:val="21"/>
                <w:szCs w:val="21"/>
                <w:lang w:bidi="ar"/>
              </w:rPr>
              <w:t>，</w:t>
            </w:r>
            <w:r>
              <w:rPr>
                <w:rFonts w:hint="eastAsia"/>
                <w:sz w:val="21"/>
                <w:szCs w:val="21"/>
              </w:rPr>
              <w:t>本项目不存在健康危险急性毒性物质（类别 1）、健康危险急性毒性物质（类别 2，类别 3）、危害水环境物质（急性毒性类别 1）和表B.1中的环境事件风险物质。</w:t>
            </w:r>
          </w:p>
          <w:p>
            <w:pPr>
              <w:keepNext w:val="0"/>
              <w:keepLines w:val="0"/>
              <w:widowControl/>
              <w:suppressLineNumbers w:val="0"/>
              <w:spacing w:before="0" w:beforeAutospacing="0" w:after="200" w:afterAutospacing="0"/>
              <w:ind w:left="0" w:right="0" w:firstLine="420"/>
              <w:rPr>
                <w:rFonts w:hint="eastAsia" w:eastAsia="宋体"/>
                <w:sz w:val="21"/>
                <w:szCs w:val="21"/>
                <w:lang w:eastAsia="zh-CN"/>
              </w:rPr>
            </w:pPr>
            <w:r>
              <w:rPr>
                <w:rFonts w:hint="eastAsia" w:ascii="Times New Roman" w:hAnsi="Times New Roman" w:eastAsia="宋体" w:cs="Times New Roman"/>
                <w:color w:val="000000"/>
                <w:kern w:val="2"/>
                <w:sz w:val="21"/>
                <w:szCs w:val="24"/>
                <w:lang w:val="en-US" w:eastAsia="zh-CN" w:bidi="ar"/>
              </w:rPr>
              <w:t>本项目危险物质主要为</w:t>
            </w:r>
            <w:r>
              <w:rPr>
                <w:rFonts w:hint="eastAsia" w:cs="Times New Roman"/>
                <w:color w:val="000000"/>
                <w:kern w:val="2"/>
                <w:sz w:val="21"/>
                <w:szCs w:val="24"/>
                <w:lang w:val="en-US" w:eastAsia="zh-CN" w:bidi="ar"/>
              </w:rPr>
              <w:t>油漆、稀释剂以及切割过程用的乙炔或丙烷气体。</w:t>
            </w:r>
            <w:r>
              <w:rPr>
                <w:rFonts w:hint="eastAsia"/>
                <w:sz w:val="21"/>
                <w:szCs w:val="21"/>
              </w:rPr>
              <w:t>根据《危险化学品重大危险源辨识》（GB18218-2018）表2的分类，本项目所用的聚氨酯树脂漆、稀释剂均为易燃液体3类，因此临界量为5000t。</w:t>
            </w:r>
            <w:r>
              <w:rPr>
                <w:rFonts w:hint="eastAsia"/>
                <w:sz w:val="21"/>
                <w:szCs w:val="21"/>
                <w:lang w:eastAsia="zh-CN"/>
              </w:rPr>
              <w:t>危险物质可能影响到大气环境。</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-12</w:t>
            </w:r>
            <w:r>
              <w:rPr>
                <w:rFonts w:hint="eastAsia"/>
                <w:color w:val="auto"/>
                <w:sz w:val="21"/>
                <w:szCs w:val="21"/>
              </w:rPr>
              <w:t xml:space="preserve">  等危险物质和风险源分布情况</w:t>
            </w:r>
          </w:p>
          <w:tbl>
            <w:tblPr>
              <w:tblStyle w:val="26"/>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422"/>
              <w:gridCol w:w="2401"/>
              <w:gridCol w:w="1844"/>
              <w:gridCol w:w="184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 w:hRule="atLeast"/>
                <w:jc w:val="center"/>
              </w:trPr>
              <w:tc>
                <w:tcPr>
                  <w:tcW w:w="1422"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名 称</w:t>
                  </w:r>
                </w:p>
              </w:tc>
              <w:tc>
                <w:tcPr>
                  <w:tcW w:w="1410"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厂区最大存在量（吨）</w:t>
                  </w:r>
                </w:p>
              </w:tc>
              <w:tc>
                <w:tcPr>
                  <w:tcW w:w="108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临界量（吨）</w:t>
                  </w:r>
                </w:p>
              </w:tc>
              <w:tc>
                <w:tcPr>
                  <w:tcW w:w="1084"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Q</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 w:hRule="atLeast"/>
                <w:jc w:val="center"/>
              </w:trPr>
              <w:tc>
                <w:tcPr>
                  <w:tcW w:w="1422"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聚氨酯树脂漆</w:t>
                  </w:r>
                </w:p>
              </w:tc>
              <w:tc>
                <w:tcPr>
                  <w:tcW w:w="1410"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0.3</w:t>
                  </w:r>
                </w:p>
              </w:tc>
              <w:tc>
                <w:tcPr>
                  <w:tcW w:w="108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5000</w:t>
                  </w:r>
                </w:p>
              </w:tc>
              <w:tc>
                <w:tcPr>
                  <w:tcW w:w="1084" w:type="pct"/>
                  <w:tcBorders>
                    <w:top w:val="single" w:color="000000" w:sz="4" w:space="0"/>
                    <w:left w:val="single" w:color="000000" w:sz="4" w:space="0"/>
                    <w:bottom w:val="single" w:color="000000" w:sz="4" w:space="0"/>
                    <w:right w:val="single" w:color="000000" w:sz="4" w:space="0"/>
                  </w:tcBorders>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0.00006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 w:hRule="atLeast"/>
                <w:jc w:val="center"/>
              </w:trPr>
              <w:tc>
                <w:tcPr>
                  <w:tcW w:w="1422"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稀释剂</w:t>
                  </w:r>
                </w:p>
              </w:tc>
              <w:tc>
                <w:tcPr>
                  <w:tcW w:w="1410"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0.</w:t>
                  </w:r>
                  <w:r>
                    <w:rPr>
                      <w:rFonts w:hint="eastAsia"/>
                      <w:u w:val="single"/>
                    </w:rPr>
                    <w:t>15</w:t>
                  </w:r>
                </w:p>
              </w:tc>
              <w:tc>
                <w:tcPr>
                  <w:tcW w:w="108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5000</w:t>
                  </w:r>
                </w:p>
              </w:tc>
              <w:tc>
                <w:tcPr>
                  <w:tcW w:w="1084" w:type="pct"/>
                  <w:tcBorders>
                    <w:top w:val="single" w:color="000000" w:sz="4" w:space="0"/>
                    <w:left w:val="single" w:color="000000" w:sz="4" w:space="0"/>
                    <w:bottom w:val="single" w:color="000000" w:sz="4" w:space="0"/>
                    <w:right w:val="single" w:color="000000" w:sz="4" w:space="0"/>
                  </w:tcBorders>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default"/>
                      <w:u w:val="single"/>
                    </w:rPr>
                    <w:t>0.00003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 w:hRule="atLeast"/>
                <w:jc w:val="center"/>
              </w:trPr>
              <w:tc>
                <w:tcPr>
                  <w:tcW w:w="1422" w:type="pct"/>
                  <w:tcBorders>
                    <w:top w:val="single" w:color="000000" w:sz="4" w:space="0"/>
                    <w:left w:val="single" w:color="000000" w:sz="4" w:space="0"/>
                    <w:bottom w:val="single" w:color="000000" w:sz="4" w:space="0"/>
                    <w:right w:val="single" w:color="000000" w:sz="4" w:space="0"/>
                  </w:tcBorders>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乙炔或丙烷</w:t>
                  </w:r>
                </w:p>
              </w:tc>
              <w:tc>
                <w:tcPr>
                  <w:tcW w:w="1410"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3.72</w:t>
                  </w:r>
                </w:p>
              </w:tc>
              <w:tc>
                <w:tcPr>
                  <w:tcW w:w="108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10</w:t>
                  </w:r>
                </w:p>
              </w:tc>
              <w:tc>
                <w:tcPr>
                  <w:tcW w:w="1084" w:type="pct"/>
                  <w:tcBorders>
                    <w:top w:val="single" w:color="000000" w:sz="4" w:space="0"/>
                    <w:left w:val="single" w:color="000000" w:sz="4" w:space="0"/>
                    <w:bottom w:val="single" w:color="000000" w:sz="4" w:space="0"/>
                    <w:right w:val="single" w:color="000000" w:sz="4" w:space="0"/>
                  </w:tcBorders>
                  <w:vAlign w:val="center"/>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0.372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 w:hRule="atLeast"/>
                <w:jc w:val="center"/>
              </w:trPr>
              <w:tc>
                <w:tcPr>
                  <w:tcW w:w="1422"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合计</w:t>
                  </w:r>
                </w:p>
              </w:tc>
              <w:tc>
                <w:tcPr>
                  <w:tcW w:w="1410"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p>
              </w:tc>
              <w:tc>
                <w:tcPr>
                  <w:tcW w:w="1083" w:type="pct"/>
                  <w:tcBorders>
                    <w:top w:val="single" w:color="000000" w:sz="4" w:space="0"/>
                    <w:left w:val="single" w:color="000000" w:sz="4" w:space="0"/>
                    <w:bottom w:val="single" w:color="000000" w:sz="4" w:space="0"/>
                    <w:right w:val="single" w:color="000000" w:sz="4" w:space="0"/>
                  </w:tcBorders>
                </w:tcPr>
                <w:p>
                  <w:pPr>
                    <w:pStyle w:val="32"/>
                    <w:keepNext w:val="0"/>
                    <w:keepLines w:val="0"/>
                    <w:widowControl/>
                    <w:suppressLineNumbers w:val="0"/>
                    <w:bidi w:val="0"/>
                    <w:spacing w:before="0" w:beforeAutospacing="0" w:afterAutospacing="0"/>
                    <w:ind w:left="0" w:right="0"/>
                    <w:rPr>
                      <w:rFonts w:hint="default"/>
                      <w:u w:val="single"/>
                    </w:rPr>
                  </w:pPr>
                </w:p>
              </w:tc>
              <w:tc>
                <w:tcPr>
                  <w:tcW w:w="1084" w:type="pct"/>
                  <w:tcBorders>
                    <w:top w:val="single" w:color="000000" w:sz="4" w:space="0"/>
                    <w:left w:val="single" w:color="000000" w:sz="4" w:space="0"/>
                    <w:bottom w:val="single" w:color="000000" w:sz="4" w:space="0"/>
                    <w:right w:val="single" w:color="000000" w:sz="4" w:space="0"/>
                  </w:tcBorders>
                  <w:vAlign w:val="bottom"/>
                </w:tcPr>
                <w:p>
                  <w:pPr>
                    <w:pStyle w:val="32"/>
                    <w:keepNext w:val="0"/>
                    <w:keepLines w:val="0"/>
                    <w:widowControl/>
                    <w:suppressLineNumbers w:val="0"/>
                    <w:bidi w:val="0"/>
                    <w:spacing w:before="0" w:beforeAutospacing="0" w:afterAutospacing="0"/>
                    <w:ind w:left="0" w:right="0"/>
                    <w:rPr>
                      <w:rFonts w:hint="default"/>
                      <w:u w:val="single"/>
                    </w:rPr>
                  </w:pPr>
                  <w:r>
                    <w:rPr>
                      <w:rFonts w:hint="eastAsia"/>
                      <w:u w:val="single"/>
                    </w:rPr>
                    <w:t>0.37209</w:t>
                  </w:r>
                </w:p>
              </w:tc>
            </w:tr>
            <w:bookmarkEnd w:id="22"/>
            <w:bookmarkEnd w:id="23"/>
            <w:bookmarkEnd w:id="24"/>
          </w:tbl>
          <w:p>
            <w:pPr>
              <w:keepNext w:val="0"/>
              <w:keepLines w:val="0"/>
              <w:widowControl w:val="0"/>
              <w:suppressLineNumbers w:val="0"/>
              <w:spacing w:before="0" w:beforeAutospacing="0" w:after="0" w:afterAutospacing="0"/>
              <w:ind w:left="0" w:right="0" w:firstLine="420"/>
              <w:jc w:val="both"/>
              <w:rPr>
                <w:rFonts w:hint="default"/>
                <w:sz w:val="21"/>
                <w:szCs w:val="21"/>
              </w:rPr>
            </w:pPr>
            <w:r>
              <w:rPr>
                <w:rFonts w:hint="eastAsia" w:cs="宋体"/>
                <w:kern w:val="2"/>
                <w:sz w:val="21"/>
                <w:szCs w:val="21"/>
                <w:lang w:bidi="ar"/>
              </w:rPr>
              <w:t>本项目Q值为0.37209，风险潜势为</w:t>
            </w:r>
            <w:r>
              <w:rPr>
                <w:rFonts w:hint="eastAsia" w:ascii="宋体" w:hAnsi="宋体" w:cs="宋体"/>
                <w:kern w:val="2"/>
                <w:sz w:val="21"/>
                <w:szCs w:val="21"/>
                <w:lang w:bidi="ar"/>
              </w:rPr>
              <w:t>Ⅰ</w:t>
            </w:r>
            <w:r>
              <w:rPr>
                <w:rFonts w:hint="eastAsia" w:cs="宋体"/>
                <w:kern w:val="2"/>
                <w:sz w:val="21"/>
                <w:szCs w:val="21"/>
                <w:lang w:bidi="ar"/>
              </w:rPr>
              <w:t>，根据《建设项目环境风险评价技术导则》（</w:t>
            </w:r>
            <w:r>
              <w:rPr>
                <w:rFonts w:hint="default" w:cs="Times New Roman"/>
                <w:kern w:val="2"/>
                <w:sz w:val="21"/>
                <w:szCs w:val="21"/>
                <w:lang w:bidi="ar"/>
              </w:rPr>
              <w:t>HJ169-2018</w:t>
            </w:r>
            <w:r>
              <w:rPr>
                <w:rFonts w:hint="eastAsia" w:cs="宋体"/>
                <w:kern w:val="2"/>
                <w:sz w:val="21"/>
                <w:szCs w:val="21"/>
                <w:lang w:bidi="ar"/>
              </w:rPr>
              <w:t>）表</w:t>
            </w:r>
            <w:r>
              <w:rPr>
                <w:rFonts w:hint="default" w:cs="Times New Roman"/>
                <w:kern w:val="2"/>
                <w:sz w:val="21"/>
                <w:szCs w:val="21"/>
                <w:lang w:bidi="ar"/>
              </w:rPr>
              <w:t>1</w:t>
            </w:r>
            <w:r>
              <w:rPr>
                <w:rFonts w:hint="eastAsia" w:cs="宋体"/>
                <w:kern w:val="2"/>
                <w:sz w:val="21"/>
                <w:szCs w:val="21"/>
                <w:lang w:bidi="ar"/>
              </w:rPr>
              <w:t>中的评价工作等级划分，为简单分析。</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-13</w:t>
            </w:r>
            <w:r>
              <w:rPr>
                <w:rFonts w:hint="default"/>
                <w:color w:val="auto"/>
                <w:sz w:val="21"/>
                <w:szCs w:val="21"/>
                <w:lang w:bidi="ar"/>
              </w:rPr>
              <w:t xml:space="preserve"> </w:t>
            </w:r>
            <w:r>
              <w:rPr>
                <w:rFonts w:hint="eastAsia"/>
                <w:color w:val="auto"/>
                <w:sz w:val="21"/>
                <w:szCs w:val="21"/>
                <w:lang w:bidi="ar"/>
              </w:rPr>
              <w:t xml:space="preserve"> </w:t>
            </w:r>
            <w:r>
              <w:rPr>
                <w:rFonts w:hint="eastAsia" w:cs="宋体"/>
                <w:color w:val="auto"/>
                <w:sz w:val="21"/>
                <w:szCs w:val="21"/>
                <w:lang w:bidi="ar"/>
              </w:rPr>
              <w:t>评价工作等级</w:t>
            </w:r>
            <w:r>
              <w:rPr>
                <w:rFonts w:hint="eastAsia"/>
                <w:color w:val="auto"/>
                <w:sz w:val="21"/>
                <w:szCs w:val="21"/>
              </w:rPr>
              <w:t>划分</w:t>
            </w:r>
          </w:p>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rPr>
              <w:drawing>
                <wp:inline distT="0" distB="0" distL="114300" distR="114300">
                  <wp:extent cx="5297170" cy="1003300"/>
                  <wp:effectExtent l="0" t="0" r="17780" b="6350"/>
                  <wp:docPr id="2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pic:cNvPicPr>
                            <a:picLocks noChangeAspect="1"/>
                          </pic:cNvPicPr>
                        </pic:nvPicPr>
                        <pic:blipFill>
                          <a:blip r:embed="rId35"/>
                          <a:stretch>
                            <a:fillRect/>
                          </a:stretch>
                        </pic:blipFill>
                        <pic:spPr>
                          <a:xfrm>
                            <a:off x="0" y="0"/>
                            <a:ext cx="5297170" cy="1003300"/>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firstLine="422"/>
              <w:rPr>
                <w:rFonts w:hint="default"/>
                <w:b/>
                <w:bCs/>
                <w:sz w:val="21"/>
                <w:szCs w:val="21"/>
              </w:rPr>
            </w:pPr>
            <w:r>
              <w:rPr>
                <w:rFonts w:hint="eastAsia"/>
                <w:b/>
                <w:bCs/>
                <w:sz w:val="21"/>
                <w:szCs w:val="21"/>
              </w:rPr>
              <w:t>本项目环境风险防范措施：</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1、严格执行出入管理制度，并按公司要求办理出入手续并签定安全协议。</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2、应遵守国家安全相关的法律法规及公司的安全相关规定。</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3、不得携带易燃、易爆、有毒物品或其他国家法律禁止的物品进入公司。必须特供本单位资质及作业人员信息（身份证复印件、特种作业证件复印件、联系方式），核实存档留底。</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4、需动火、动土、高空、吊装、有限空间、临时用电等危险作业的，必须向申请相应危险作业许可证，作业前必须确认现场是否合适危险作业，附近是否存放易燃易爆及阻碍危险作业物品，应急救援通道是否畅通，由现场监督确认后，方可进行危险作业。</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5、作业前，必须按要求佩戴好符合国标的个人劳保防护用品，方可作业。</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6、作业前，必须接受安全教育培训，培训合格后方可作业。</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7、发生事故单位要严格按照事故的性质及严重程度，遵循事故报告原则，用快速方法向有关部门报告。</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8、配备喷淋等应急措施。</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9、单位发生重大事故后，抢救受伤人员是第一位的任务，现场指挥人员要冷静沉着地对事故和周围环境作出判断，并有效地指挥所有人员在第一时间内积极抢救伤员，安定人心，消除人员恐惧心理。</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10、事故发生地要快速地采取一切措施防止事故蔓延和二次事故发生。</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11、要按照不同的事故类型，采取不同的抢救方法，针对事故的性质迅速作出判断，切断危险源头再进行积极抢救。</w:t>
            </w:r>
          </w:p>
          <w:p>
            <w:pPr>
              <w:keepNext w:val="0"/>
              <w:keepLines w:val="0"/>
              <w:widowControl/>
              <w:suppressLineNumbers w:val="0"/>
              <w:spacing w:before="0" w:beforeAutospacing="0" w:after="0" w:afterAutospacing="0"/>
              <w:ind w:left="0" w:right="0" w:firstLine="420"/>
              <w:rPr>
                <w:rFonts w:hint="default"/>
                <w:sz w:val="21"/>
                <w:szCs w:val="21"/>
              </w:rPr>
            </w:pPr>
            <w:r>
              <w:rPr>
                <w:rFonts w:hint="eastAsia"/>
                <w:sz w:val="21"/>
                <w:szCs w:val="21"/>
              </w:rPr>
              <w:t>12、事故发生后，要尽最大努力保护好事故现场，使事故现场处于原始状态，为以后查找原因提供依据，这是现场应急处置的所有人员必须明白并严格遵守的重要原则。</w:t>
            </w:r>
          </w:p>
          <w:p>
            <w:pPr>
              <w:keepNext w:val="0"/>
              <w:keepLines w:val="0"/>
              <w:widowControl/>
              <w:suppressLineNumbers w:val="0"/>
              <w:spacing w:before="0" w:beforeAutospacing="0" w:after="0" w:afterAutospacing="0"/>
              <w:ind w:left="0" w:right="0" w:firstLine="420"/>
              <w:rPr>
                <w:rFonts w:hint="default" w:cs="Times New Roman"/>
                <w:sz w:val="21"/>
                <w:szCs w:val="21"/>
                <w:u w:val="single"/>
              </w:rPr>
            </w:pPr>
            <w:r>
              <w:rPr>
                <w:rFonts w:hint="eastAsia" w:cs="Times New Roman"/>
                <w:sz w:val="21"/>
                <w:szCs w:val="21"/>
                <w:u w:val="single"/>
              </w:rPr>
              <w:t>乙炔使用过程风险防范措施：</w:t>
            </w:r>
          </w:p>
          <w:p>
            <w:pPr>
              <w:pStyle w:val="15"/>
              <w:keepNext w:val="0"/>
              <w:keepLines w:val="0"/>
              <w:widowControl/>
              <w:suppressLineNumbers w:val="0"/>
              <w:spacing w:before="0" w:beforeAutospacing="0" w:afterAutospacing="0"/>
              <w:ind w:left="0" w:right="0" w:firstLine="420"/>
              <w:rPr>
                <w:rFonts w:hint="default"/>
                <w:sz w:val="21"/>
                <w:szCs w:val="21"/>
                <w:u w:val="single"/>
                <w:shd w:val="clear" w:color="auto" w:fill="FFFFFF"/>
              </w:rPr>
            </w:pPr>
            <w:r>
              <w:rPr>
                <w:rFonts w:hint="eastAsia"/>
                <w:sz w:val="21"/>
                <w:szCs w:val="21"/>
                <w:u w:val="single"/>
                <w:shd w:val="clear" w:color="auto" w:fill="FFFFFF"/>
              </w:rPr>
              <w:t>（1）乙炔在输送管路中最大流速：当压力为0.0688～0.147MPa时，不应超过8m/s；当压力为0.147～2.45MPa时，不应超过4m/s。由于乙炔气高速喷射会产生静电而起火，因此，乙炔设备和管路除严防泄漏外，还应有良好的避雷及静电接地装置。接地电阻不应大于10Ω。当每对法兰或螺纹接头间电阻值超过0.03Ω时，应有跨接导线。</w:t>
            </w:r>
            <w:r>
              <w:rPr>
                <w:rFonts w:hint="eastAsia"/>
                <w:sz w:val="21"/>
                <w:szCs w:val="21"/>
                <w:u w:val="single"/>
              </w:rPr>
              <w:br w:type="textWrapping"/>
            </w:r>
            <w:r>
              <w:rPr>
                <w:rFonts w:hint="eastAsia"/>
                <w:sz w:val="21"/>
                <w:szCs w:val="21"/>
                <w:u w:val="single"/>
                <w:shd w:val="clear" w:color="auto" w:fill="FFFFFF"/>
              </w:rPr>
              <w:t>　　（2）为了防止爆炸性的乙炔铜、乙炔银等的生成，阀门和附件材质应采用钢、可锻铸铁或球墨铸铁材料或铜含量不超过70％的铜合金材料。</w:t>
            </w:r>
            <w:r>
              <w:rPr>
                <w:rFonts w:hint="eastAsia"/>
                <w:sz w:val="21"/>
                <w:szCs w:val="21"/>
                <w:u w:val="single"/>
              </w:rPr>
              <w:br w:type="textWrapping"/>
            </w:r>
            <w:r>
              <w:rPr>
                <w:rFonts w:hint="eastAsia"/>
                <w:sz w:val="21"/>
                <w:szCs w:val="21"/>
                <w:u w:val="single"/>
                <w:shd w:val="clear" w:color="auto" w:fill="FFFFFF"/>
              </w:rPr>
              <w:t>　　（3）采用适用于乙炔场所的dⅡCT2(B4b)级的防爆型电气设备或仪表。在区域内应采取消除或控制电气设备线路产生火花、电弧或高温的措施。</w:t>
            </w:r>
          </w:p>
          <w:p>
            <w:pPr>
              <w:pStyle w:val="15"/>
              <w:keepNext w:val="0"/>
              <w:keepLines w:val="0"/>
              <w:widowControl/>
              <w:suppressLineNumbers w:val="0"/>
              <w:spacing w:before="0" w:beforeAutospacing="0" w:afterAutospacing="0"/>
              <w:ind w:left="0" w:right="0" w:firstLine="420"/>
              <w:rPr>
                <w:rFonts w:hint="default"/>
                <w:sz w:val="21"/>
                <w:szCs w:val="21"/>
                <w:u w:val="single"/>
                <w:shd w:val="clear" w:color="auto" w:fill="FFFFFF"/>
              </w:rPr>
            </w:pPr>
            <w:r>
              <w:rPr>
                <w:rFonts w:hint="eastAsia"/>
                <w:sz w:val="21"/>
                <w:szCs w:val="21"/>
                <w:u w:val="single"/>
                <w:shd w:val="clear" w:color="auto" w:fill="FFFFFF"/>
              </w:rPr>
              <w:t>丙烷使用过程风险防范措施：</w:t>
            </w:r>
          </w:p>
          <w:p>
            <w:pPr>
              <w:pStyle w:val="15"/>
              <w:keepNext w:val="0"/>
              <w:keepLines w:val="0"/>
              <w:widowControl/>
              <w:suppressLineNumbers w:val="0"/>
              <w:spacing w:before="0" w:beforeAutospacing="0" w:afterAutospacing="0"/>
              <w:ind w:left="0" w:right="0" w:firstLine="420"/>
              <w:rPr>
                <w:rFonts w:hint="default"/>
                <w:sz w:val="21"/>
                <w:szCs w:val="21"/>
                <w:u w:val="single"/>
                <w:shd w:val="clear" w:color="auto" w:fill="FFFFFF"/>
              </w:rPr>
            </w:pPr>
            <w:r>
              <w:rPr>
                <w:rFonts w:hint="eastAsia"/>
                <w:sz w:val="21"/>
                <w:szCs w:val="21"/>
                <w:u w:val="single"/>
                <w:shd w:val="clear" w:color="auto" w:fill="FFFFFF"/>
              </w:rPr>
              <w:t>操作注意事项：全面通风。操作人员必须经过专门培训，严格遵守操作规程。远离火种热源，工作场所严禁吸烟。使用防爆型的通风系统和设备。防止气体泄漏到工作场所的空气中。避免与氧化剂、卤素接触。在传送过程中，钢瓶和容器必须接地和跨接防止产生静电。搬运时轻装轻卸，防止钢瓶及附件破损。配备相应品种和数量的消防器材及泄漏应急设备。</w:t>
            </w:r>
          </w:p>
          <w:p>
            <w:pPr>
              <w:pStyle w:val="15"/>
              <w:keepNext w:val="0"/>
              <w:keepLines w:val="0"/>
              <w:widowControl/>
              <w:suppressLineNumbers w:val="0"/>
              <w:spacing w:before="0" w:beforeAutospacing="0" w:afterAutospacing="0"/>
              <w:ind w:left="0" w:right="0" w:firstLine="420"/>
              <w:rPr>
                <w:rFonts w:hint="default"/>
                <w:sz w:val="21"/>
                <w:szCs w:val="21"/>
                <w:u w:val="single"/>
                <w:shd w:val="clear" w:color="auto" w:fill="FFFFFF"/>
              </w:rPr>
            </w:pPr>
            <w:r>
              <w:rPr>
                <w:rFonts w:hint="eastAsia" w:cs="Times New Roman"/>
                <w:sz w:val="21"/>
                <w:szCs w:val="21"/>
                <w:u w:val="single"/>
              </w:rPr>
              <w:t>乙炔、</w:t>
            </w:r>
            <w:r>
              <w:rPr>
                <w:rFonts w:hint="eastAsia"/>
                <w:sz w:val="21"/>
                <w:szCs w:val="21"/>
                <w:u w:val="single"/>
                <w:shd w:val="clear" w:color="auto" w:fill="FFFFFF"/>
              </w:rPr>
              <w:t>丙烷储存注意事项：储存于阴凉、通风的库房。远窝火种、热源。库温不宜超过30℃，应于氧化剂、卤素分开存放，切忌混储。采用防爆型照明、通风设施。禁止使用易产生火花的机械设备和工具。储区应备有泄漏应急处理设备。</w:t>
            </w:r>
          </w:p>
          <w:p>
            <w:pPr>
              <w:keepNext w:val="0"/>
              <w:keepLines w:val="0"/>
              <w:widowControl/>
              <w:suppressLineNumbers w:val="0"/>
              <w:spacing w:before="0" w:beforeAutospacing="0" w:after="0" w:afterAutospacing="0"/>
              <w:ind w:left="0" w:right="0" w:firstLine="420"/>
              <w:rPr>
                <w:rFonts w:hint="default" w:cs="Times New Roman" w:eastAsiaTheme="minorEastAsia"/>
                <w:b/>
                <w:sz w:val="21"/>
                <w:szCs w:val="21"/>
              </w:rPr>
            </w:pP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eastAsia" w:cs="Times New Roman" w:eastAsiaTheme="minorEastAsia"/>
                <w:b/>
                <w:sz w:val="21"/>
                <w:szCs w:val="21"/>
              </w:rPr>
              <w:t>4.4</w:t>
            </w:r>
            <w:r>
              <w:rPr>
                <w:rFonts w:hint="default" w:cs="Times New Roman"/>
                <w:b/>
                <w:sz w:val="21"/>
                <w:szCs w:val="21"/>
              </w:rPr>
              <w:t>环保投资概算</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-14</w:t>
            </w:r>
            <w:r>
              <w:rPr>
                <w:rFonts w:hint="default" w:eastAsia="Times New Roman"/>
                <w:color w:val="auto"/>
                <w:sz w:val="21"/>
                <w:szCs w:val="21"/>
              </w:rPr>
              <w:t xml:space="preserve">  </w:t>
            </w:r>
            <w:r>
              <w:rPr>
                <w:rFonts w:hint="default"/>
                <w:color w:val="auto"/>
                <w:sz w:val="21"/>
                <w:szCs w:val="21"/>
              </w:rPr>
              <w:t>环保投资一览表</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7"/>
              <w:gridCol w:w="4221"/>
              <w:gridCol w:w="927"/>
              <w:gridCol w:w="854"/>
              <w:gridCol w:w="17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序号</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种类</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数量</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投资</w:t>
                  </w:r>
                  <w:r>
                    <w:rPr>
                      <w:rFonts w:hint="eastAsia"/>
                      <w:szCs w:val="21"/>
                    </w:rPr>
                    <w:t>(</w:t>
                  </w:r>
                  <w:r>
                    <w:rPr>
                      <w:rFonts w:hint="default"/>
                      <w:szCs w:val="21"/>
                    </w:rPr>
                    <w:t>万元</w:t>
                  </w:r>
                  <w:r>
                    <w:rPr>
                      <w:rFonts w:hint="eastAsia"/>
                      <w:szCs w:val="21"/>
                    </w:rPr>
                    <w:t>)</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1</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u w:val="single"/>
                    </w:rPr>
                    <w:t>移动式烟尘净化器</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4套</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20</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2</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u w:val="single"/>
                    </w:rPr>
                    <w:t>封闭的喷砂房+抽风管道+水浴池</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1套</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50</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3</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封闭的喷漆房+水帘柜+活性炭吸附装置+UV光解+15m高排气筒</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1套</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200</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4</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雨污分流</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100</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5</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化粪池</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1个</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5</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6</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循环水池</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1个</w:t>
                  </w: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10</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eastAsia" w:eastAsia="宋体"/>
                      <w:szCs w:val="21"/>
                      <w:lang w:eastAsia="zh-CN"/>
                    </w:rPr>
                  </w:pPr>
                  <w:r>
                    <w:rPr>
                      <w:rFonts w:hint="eastAsia"/>
                      <w:szCs w:val="21"/>
                      <w:lang w:eastAsia="zh-CN"/>
                    </w:rPr>
                    <w:t>1.5m*2m*3m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7</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采用新型设备、</w:t>
                  </w:r>
                  <w:r>
                    <w:rPr>
                      <w:rFonts w:hint="default"/>
                      <w:szCs w:val="21"/>
                    </w:rPr>
                    <w:t>隔声、减振</w:t>
                  </w:r>
                  <w:r>
                    <w:rPr>
                      <w:rFonts w:hint="eastAsia"/>
                      <w:szCs w:val="21"/>
                    </w:rPr>
                    <w:t>等</w:t>
                  </w:r>
                  <w:r>
                    <w:rPr>
                      <w:rFonts w:hint="default"/>
                      <w:szCs w:val="21"/>
                    </w:rPr>
                    <w:t>措施</w:t>
                  </w:r>
                </w:p>
              </w:tc>
              <w:tc>
                <w:tcPr>
                  <w:tcW w:w="544"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w:t>
                  </w:r>
                </w:p>
              </w:tc>
              <w:tc>
                <w:tcPr>
                  <w:tcW w:w="501"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15</w:t>
                  </w:r>
                </w:p>
              </w:tc>
              <w:tc>
                <w:tcPr>
                  <w:tcW w:w="1053"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78" w:hRule="atLeast"/>
              </w:trPr>
              <w:tc>
                <w:tcPr>
                  <w:tcW w:w="421"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8</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一般固废暂存间，面积约15平方米</w:t>
                  </w:r>
                </w:p>
              </w:tc>
              <w:tc>
                <w:tcPr>
                  <w:tcW w:w="544"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1个</w:t>
                  </w:r>
                </w:p>
              </w:tc>
              <w:tc>
                <w:tcPr>
                  <w:tcW w:w="501"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5</w:t>
                  </w:r>
                </w:p>
              </w:tc>
              <w:tc>
                <w:tcPr>
                  <w:tcW w:w="1053"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位于厂房西南角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421"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9</w:t>
                  </w: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危废暂存间，面积约12平方米</w:t>
                  </w:r>
                </w:p>
              </w:tc>
              <w:tc>
                <w:tcPr>
                  <w:tcW w:w="544"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1个</w:t>
                  </w:r>
                </w:p>
              </w:tc>
              <w:tc>
                <w:tcPr>
                  <w:tcW w:w="501"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50</w:t>
                  </w:r>
                </w:p>
              </w:tc>
              <w:tc>
                <w:tcPr>
                  <w:tcW w:w="1053" w:type="pct"/>
                  <w:tcBorders>
                    <w:top w:val="single" w:color="auto" w:sz="4" w:space="0"/>
                    <w:left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位于厂房西南角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 w:hRule="atLeast"/>
              </w:trPr>
              <w:tc>
                <w:tcPr>
                  <w:tcW w:w="42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c>
                <w:tcPr>
                  <w:tcW w:w="2477"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合计</w:t>
                  </w:r>
                </w:p>
              </w:tc>
              <w:tc>
                <w:tcPr>
                  <w:tcW w:w="544"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c>
                <w:tcPr>
                  <w:tcW w:w="501"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455</w:t>
                  </w:r>
                </w:p>
              </w:tc>
              <w:tc>
                <w:tcPr>
                  <w:tcW w:w="1053" w:type="pct"/>
                  <w:tcBorders>
                    <w:top w:val="single" w:color="auto" w:sz="4" w:space="0"/>
                    <w:left w:val="single" w:color="auto" w:sz="4" w:space="0"/>
                    <w:bottom w:val="single" w:color="auto" w:sz="4" w:space="0"/>
                    <w:right w:val="single" w:color="auto" w:sz="4" w:space="0"/>
                  </w:tcBorders>
                  <w:vAlign w:val="center"/>
                </w:tcPr>
                <w:p>
                  <w:pPr>
                    <w:pStyle w:val="52"/>
                    <w:keepNext w:val="0"/>
                    <w:keepLines w:val="0"/>
                    <w:suppressLineNumbers w:val="0"/>
                    <w:spacing w:before="0" w:beforeAutospacing="0" w:after="0" w:afterAutospacing="0"/>
                    <w:ind w:left="0" w:right="0"/>
                    <w:rPr>
                      <w:rFonts w:hint="default"/>
                      <w:szCs w:val="21"/>
                    </w:rPr>
                  </w:pPr>
                </w:p>
              </w:tc>
            </w:tr>
          </w:tbl>
          <w:p>
            <w:pPr>
              <w:keepNext w:val="0"/>
              <w:keepLines w:val="0"/>
              <w:widowControl/>
              <w:suppressLineNumbers w:val="0"/>
              <w:spacing w:before="0" w:beforeAutospacing="0" w:after="0" w:afterAutospacing="0"/>
              <w:ind w:left="0" w:right="0" w:firstLine="422"/>
              <w:jc w:val="center"/>
              <w:rPr>
                <w:rFonts w:hint="default" w:cs="Times New Roman"/>
                <w:b/>
                <w:sz w:val="21"/>
                <w:szCs w:val="21"/>
              </w:rPr>
            </w:pPr>
          </w:p>
          <w:p>
            <w:pPr>
              <w:keepNext w:val="0"/>
              <w:keepLines w:val="0"/>
              <w:widowControl/>
              <w:suppressLineNumbers w:val="0"/>
              <w:spacing w:before="0" w:beforeAutospacing="0" w:after="0" w:afterAutospacing="0"/>
              <w:ind w:left="0" w:right="0" w:firstLine="422"/>
              <w:rPr>
                <w:rFonts w:hint="default" w:eastAsia="Times New Roman" w:cs="Times New Roman"/>
                <w:b/>
                <w:sz w:val="21"/>
                <w:szCs w:val="21"/>
              </w:rPr>
            </w:pPr>
            <w:r>
              <w:rPr>
                <w:rFonts w:hint="eastAsia" w:cs="Times New Roman"/>
                <w:b/>
                <w:sz w:val="21"/>
                <w:szCs w:val="21"/>
              </w:rPr>
              <w:t>4</w:t>
            </w:r>
            <w:r>
              <w:rPr>
                <w:rFonts w:hint="default" w:eastAsia="Times New Roman" w:cs="Times New Roman"/>
                <w:b/>
                <w:sz w:val="21"/>
                <w:szCs w:val="21"/>
              </w:rPr>
              <w:t>.</w:t>
            </w:r>
            <w:r>
              <w:rPr>
                <w:rFonts w:hint="eastAsia" w:cs="Times New Roman"/>
                <w:b/>
                <w:sz w:val="21"/>
                <w:szCs w:val="21"/>
              </w:rPr>
              <w:t>5</w:t>
            </w:r>
            <w:r>
              <w:rPr>
                <w:rFonts w:hint="default" w:cs="Times New Roman"/>
                <w:b/>
                <w:sz w:val="21"/>
                <w:szCs w:val="21"/>
              </w:rPr>
              <w:t>监测计划</w:t>
            </w:r>
          </w:p>
          <w:p>
            <w:pPr>
              <w:keepNext w:val="0"/>
              <w:keepLines w:val="0"/>
              <w:widowControl/>
              <w:suppressLineNumbers w:val="0"/>
              <w:spacing w:before="0" w:beforeAutospacing="0" w:after="0" w:afterAutospacing="0"/>
              <w:ind w:left="0" w:right="0" w:firstLine="420"/>
              <w:rPr>
                <w:rFonts w:hint="eastAsia" w:cs="Times New Roman"/>
                <w:sz w:val="21"/>
                <w:szCs w:val="21"/>
              </w:rPr>
            </w:pPr>
            <w:r>
              <w:rPr>
                <w:rFonts w:hint="default" w:cs="Times New Roman"/>
                <w:sz w:val="21"/>
                <w:szCs w:val="21"/>
              </w:rPr>
              <w:t>本项目产生的废气、噪声、废水等，一旦非正常或不达标排放，将会对周边环境、相邻企业及周边居民造成一定影响。因此，</w:t>
            </w:r>
            <w:r>
              <w:rPr>
                <w:rFonts w:hint="eastAsia" w:cs="Times New Roman"/>
                <w:sz w:val="21"/>
                <w:szCs w:val="21"/>
              </w:rPr>
              <w:t>为</w:t>
            </w:r>
            <w:r>
              <w:rPr>
                <w:rFonts w:hint="default" w:cs="Times New Roman"/>
                <w:sz w:val="21"/>
                <w:szCs w:val="21"/>
              </w:rPr>
              <w:t>避免运营过程中因管理不到位对环境造成影响，同时为了解项目的环境影响及环境质量变化趋势，应建立污染源分类技术档案和监测档案，为环境污染治理提供必要的依据。</w:t>
            </w:r>
          </w:p>
          <w:p>
            <w:pPr>
              <w:pStyle w:val="49"/>
              <w:keepNext w:val="0"/>
              <w:keepLines w:val="0"/>
              <w:widowControl/>
              <w:suppressLineNumbers w:val="0"/>
              <w:spacing w:before="0" w:beforeAutospacing="0" w:after="0" w:afterAutospacing="0"/>
              <w:ind w:left="0" w:right="0"/>
              <w:rPr>
                <w:rFonts w:hint="default"/>
                <w:color w:val="auto"/>
                <w:sz w:val="21"/>
                <w:szCs w:val="21"/>
              </w:rPr>
            </w:pPr>
            <w:r>
              <w:rPr>
                <w:rFonts w:hint="eastAsia"/>
                <w:color w:val="auto"/>
                <w:sz w:val="21"/>
                <w:szCs w:val="21"/>
              </w:rPr>
              <w:t>表4</w:t>
            </w:r>
            <w:r>
              <w:rPr>
                <w:rFonts w:hint="eastAsia"/>
                <w:color w:val="auto"/>
                <w:sz w:val="21"/>
                <w:szCs w:val="21"/>
                <w:lang w:val="en-US" w:eastAsia="zh-CN"/>
              </w:rPr>
              <w:t>-15</w:t>
            </w:r>
            <w:r>
              <w:rPr>
                <w:rFonts w:hint="default" w:eastAsia="Times New Roman"/>
                <w:color w:val="auto"/>
                <w:sz w:val="21"/>
                <w:szCs w:val="21"/>
              </w:rPr>
              <w:t xml:space="preserve"> </w:t>
            </w:r>
            <w:r>
              <w:rPr>
                <w:rFonts w:hint="default" w:eastAsiaTheme="minorEastAsia"/>
                <w:color w:val="auto"/>
                <w:sz w:val="21"/>
                <w:szCs w:val="21"/>
              </w:rPr>
              <w:t xml:space="preserve"> </w:t>
            </w:r>
            <w:r>
              <w:rPr>
                <w:rFonts w:hint="eastAsia" w:ascii="宋体" w:hAnsi="宋体" w:cs="宋体"/>
                <w:color w:val="auto"/>
                <w:sz w:val="21"/>
                <w:szCs w:val="21"/>
              </w:rPr>
              <w:t>监测计划要求</w:t>
            </w:r>
            <w:r>
              <w:rPr>
                <w:rFonts w:hint="eastAsia"/>
                <w:color w:val="auto"/>
                <w:sz w:val="21"/>
                <w:szCs w:val="21"/>
              </w:rPr>
              <w:t>一览表</w:t>
            </w:r>
          </w:p>
          <w:tbl>
            <w:tblPr>
              <w:tblStyle w:val="25"/>
              <w:tblW w:w="5000" w:type="pct"/>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108" w:type="dxa"/>
                <w:bottom w:w="0" w:type="dxa"/>
                <w:right w:w="108" w:type="dxa"/>
              </w:tblCellMar>
            </w:tblPr>
            <w:tblGrid>
              <w:gridCol w:w="1280"/>
              <w:gridCol w:w="2933"/>
              <w:gridCol w:w="2429"/>
              <w:gridCol w:w="1869"/>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78" w:hRule="atLeast"/>
                <w:jc w:val="center"/>
              </w:trPr>
              <w:tc>
                <w:tcPr>
                  <w:tcW w:w="752"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监测项目</w:t>
                  </w:r>
                </w:p>
              </w:tc>
              <w:tc>
                <w:tcPr>
                  <w:tcW w:w="1723"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监测点位</w:t>
                  </w:r>
                </w:p>
              </w:tc>
              <w:tc>
                <w:tcPr>
                  <w:tcW w:w="1427"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监测因子</w:t>
                  </w:r>
                </w:p>
              </w:tc>
              <w:tc>
                <w:tcPr>
                  <w:tcW w:w="1098"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监测频次</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78" w:hRule="atLeast"/>
                <w:jc w:val="center"/>
              </w:trPr>
              <w:tc>
                <w:tcPr>
                  <w:tcW w:w="752"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噪声</w:t>
                  </w:r>
                </w:p>
              </w:tc>
              <w:tc>
                <w:tcPr>
                  <w:tcW w:w="1723"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厂界</w:t>
                  </w:r>
                </w:p>
              </w:tc>
              <w:tc>
                <w:tcPr>
                  <w:tcW w:w="1427"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连续等效A声级</w:t>
                  </w:r>
                </w:p>
              </w:tc>
              <w:tc>
                <w:tcPr>
                  <w:tcW w:w="1098"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每年一次</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78" w:hRule="atLeast"/>
                <w:jc w:val="center"/>
              </w:trPr>
              <w:tc>
                <w:tcPr>
                  <w:tcW w:w="752" w:type="pct"/>
                  <w:vMerge w:val="restar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废气</w:t>
                  </w:r>
                </w:p>
              </w:tc>
              <w:tc>
                <w:tcPr>
                  <w:tcW w:w="1723"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厂界</w:t>
                  </w:r>
                </w:p>
              </w:tc>
              <w:tc>
                <w:tcPr>
                  <w:tcW w:w="1427"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颗粒物、VOCs</w:t>
                  </w:r>
                </w:p>
              </w:tc>
              <w:tc>
                <w:tcPr>
                  <w:tcW w:w="1098"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每年一次</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64" w:hRule="atLeast"/>
                <w:jc w:val="center"/>
              </w:trPr>
              <w:tc>
                <w:tcPr>
                  <w:tcW w:w="752" w:type="pct"/>
                  <w:vMerge w:val="continue"/>
                  <w:vAlign w:val="center"/>
                </w:tcPr>
                <w:p>
                  <w:pPr>
                    <w:pStyle w:val="32"/>
                    <w:keepNext w:val="0"/>
                    <w:keepLines w:val="0"/>
                    <w:widowControl/>
                    <w:suppressLineNumbers w:val="0"/>
                    <w:bidi w:val="0"/>
                    <w:spacing w:before="0" w:beforeAutospacing="0" w:afterAutospacing="0"/>
                    <w:ind w:left="0" w:right="0"/>
                    <w:rPr>
                      <w:rFonts w:hint="default"/>
                    </w:rPr>
                  </w:pPr>
                </w:p>
              </w:tc>
              <w:tc>
                <w:tcPr>
                  <w:tcW w:w="1723"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喷漆房排气筒</w:t>
                  </w:r>
                </w:p>
              </w:tc>
              <w:tc>
                <w:tcPr>
                  <w:tcW w:w="1427"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VOCs</w:t>
                  </w:r>
                </w:p>
              </w:tc>
              <w:tc>
                <w:tcPr>
                  <w:tcW w:w="1098"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每年一次</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64" w:hRule="atLeast"/>
                <w:jc w:val="center"/>
              </w:trPr>
              <w:tc>
                <w:tcPr>
                  <w:tcW w:w="752" w:type="pct"/>
                  <w:vAlign w:val="center"/>
                </w:tcPr>
                <w:p>
                  <w:pPr>
                    <w:pStyle w:val="32"/>
                    <w:keepNext w:val="0"/>
                    <w:keepLines w:val="0"/>
                    <w:widowControl/>
                    <w:suppressLineNumbers w:val="0"/>
                    <w:bidi w:val="0"/>
                    <w:spacing w:before="0" w:beforeAutospacing="0" w:afterAutospacing="0"/>
                    <w:ind w:left="0" w:right="0"/>
                    <w:rPr>
                      <w:rFonts w:hint="default"/>
                    </w:rPr>
                  </w:pPr>
                  <w:r>
                    <w:rPr>
                      <w:rFonts w:hint="eastAsia"/>
                    </w:rPr>
                    <w:t>废水</w:t>
                  </w:r>
                </w:p>
              </w:tc>
              <w:tc>
                <w:tcPr>
                  <w:tcW w:w="1723" w:type="pct"/>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rPr>
                    <w:t>废水排放口</w:t>
                  </w:r>
                </w:p>
              </w:tc>
              <w:tc>
                <w:tcPr>
                  <w:tcW w:w="1427" w:type="pct"/>
                  <w:vAlign w:val="center"/>
                </w:tcPr>
                <w:p>
                  <w:pPr>
                    <w:pStyle w:val="32"/>
                    <w:keepNext w:val="0"/>
                    <w:keepLines w:val="0"/>
                    <w:widowControl/>
                    <w:suppressLineNumbers w:val="0"/>
                    <w:bidi w:val="0"/>
                    <w:spacing w:before="0" w:beforeAutospacing="0" w:afterAutospacing="0"/>
                    <w:ind w:left="0" w:right="0"/>
                    <w:rPr>
                      <w:rFonts w:hint="eastAsia"/>
                    </w:rPr>
                  </w:pPr>
                  <w:r>
                    <w:rPr>
                      <w:rFonts w:hint="eastAsia"/>
                    </w:rPr>
                    <w:t>流量、pH 值、化学需氧量、氨氮、悬浮物、石油类、五日生化需氧量、阴离子表面活性剂</w:t>
                  </w:r>
                </w:p>
              </w:tc>
              <w:tc>
                <w:tcPr>
                  <w:tcW w:w="1098" w:type="pct"/>
                  <w:vAlign w:val="center"/>
                </w:tcPr>
                <w:p>
                  <w:pPr>
                    <w:pStyle w:val="32"/>
                    <w:keepNext w:val="0"/>
                    <w:keepLines w:val="0"/>
                    <w:widowControl/>
                    <w:suppressLineNumbers w:val="0"/>
                    <w:bidi w:val="0"/>
                    <w:spacing w:before="0" w:beforeAutospacing="0" w:afterAutospacing="0"/>
                    <w:ind w:left="0" w:right="0"/>
                    <w:rPr>
                      <w:rFonts w:hint="default"/>
                    </w:rPr>
                  </w:pPr>
                  <w:r>
                    <w:rPr>
                      <w:rFonts w:hint="default"/>
                    </w:rPr>
                    <w:t>每</w:t>
                  </w:r>
                  <w:r>
                    <w:rPr>
                      <w:rFonts w:hint="eastAsia"/>
                    </w:rPr>
                    <w:t>半</w:t>
                  </w:r>
                  <w:r>
                    <w:rPr>
                      <w:rFonts w:hint="default"/>
                    </w:rPr>
                    <w:t>年一次</w:t>
                  </w:r>
                </w:p>
              </w:tc>
            </w:tr>
          </w:tbl>
          <w:p>
            <w:pPr>
              <w:pStyle w:val="49"/>
              <w:keepNext w:val="0"/>
              <w:keepLines w:val="0"/>
              <w:widowControl/>
              <w:suppressLineNumbers w:val="0"/>
              <w:spacing w:before="0" w:beforeAutospacing="0" w:after="0" w:afterAutospacing="0"/>
              <w:ind w:left="0" w:right="0"/>
              <w:jc w:val="left"/>
              <w:rPr>
                <w:rFonts w:hint="default"/>
                <w:szCs w:val="21"/>
              </w:rPr>
            </w:pPr>
            <w:r>
              <w:rPr>
                <w:rFonts w:hint="eastAsia"/>
                <w:b w:val="0"/>
                <w:bCs w:val="0"/>
                <w:color w:val="auto"/>
                <w:sz w:val="21"/>
                <w:szCs w:val="21"/>
              </w:rPr>
              <w:t>注：</w:t>
            </w:r>
            <w:r>
              <w:rPr>
                <w:rFonts w:hint="default"/>
                <w:b w:val="0"/>
                <w:bCs w:val="0"/>
                <w:color w:val="auto"/>
                <w:sz w:val="21"/>
                <w:szCs w:val="21"/>
              </w:rPr>
              <w:t>监测频次</w:t>
            </w:r>
            <w:r>
              <w:rPr>
                <w:rFonts w:hint="eastAsia"/>
                <w:b w:val="0"/>
                <w:bCs w:val="0"/>
                <w:color w:val="auto"/>
                <w:sz w:val="21"/>
                <w:szCs w:val="21"/>
              </w:rPr>
              <w:t>根据《</w:t>
            </w:r>
            <w:r>
              <w:rPr>
                <w:rFonts w:hint="default"/>
                <w:b w:val="0"/>
                <w:bCs w:val="0"/>
                <w:color w:val="auto"/>
                <w:sz w:val="21"/>
                <w:szCs w:val="21"/>
              </w:rPr>
              <w:t>排污许可证申请与核发技术规范 铁路、船舶、航空航天和其他运输设备制造业</w:t>
            </w:r>
            <w:r>
              <w:rPr>
                <w:rFonts w:hint="eastAsia"/>
                <w:b w:val="0"/>
                <w:bCs w:val="0"/>
                <w:color w:val="auto"/>
                <w:sz w:val="21"/>
                <w:szCs w:val="21"/>
              </w:rPr>
              <w:t>》（</w:t>
            </w:r>
            <w:r>
              <w:rPr>
                <w:rFonts w:hint="default"/>
                <w:b w:val="0"/>
                <w:bCs w:val="0"/>
                <w:color w:val="auto"/>
                <w:sz w:val="21"/>
                <w:szCs w:val="21"/>
              </w:rPr>
              <w:t>HJ 1124—2020</w:t>
            </w:r>
            <w:r>
              <w:rPr>
                <w:rFonts w:hint="eastAsia"/>
                <w:b w:val="0"/>
                <w:bCs w:val="0"/>
                <w:color w:val="auto"/>
                <w:sz w:val="21"/>
                <w:szCs w:val="21"/>
              </w:rPr>
              <w:t>）附录</w:t>
            </w:r>
            <w:r>
              <w:rPr>
                <w:rFonts w:hint="default"/>
                <w:b w:val="0"/>
                <w:bCs w:val="0"/>
                <w:color w:val="auto"/>
                <w:sz w:val="21"/>
                <w:szCs w:val="21"/>
              </w:rPr>
              <w:t>A</w:t>
            </w:r>
            <w:r>
              <w:rPr>
                <w:rFonts w:hint="eastAsia"/>
                <w:b w:val="0"/>
                <w:bCs w:val="0"/>
                <w:color w:val="auto"/>
                <w:sz w:val="21"/>
                <w:szCs w:val="21"/>
              </w:rPr>
              <w:t>确定。</w:t>
            </w:r>
          </w:p>
          <w:p>
            <w:pPr>
              <w:keepNext w:val="0"/>
              <w:keepLines w:val="0"/>
              <w:widowControl/>
              <w:suppressLineNumbers w:val="0"/>
              <w:spacing w:before="0" w:beforeAutospacing="0" w:after="0" w:afterAutospacing="0"/>
              <w:ind w:left="0" w:right="0" w:firstLine="420"/>
              <w:rPr>
                <w:rFonts w:hint="default" w:cs="Times New Roman" w:eastAsiaTheme="minorEastAsia"/>
                <w:b/>
                <w:sz w:val="21"/>
                <w:szCs w:val="21"/>
              </w:rPr>
            </w:pPr>
          </w:p>
          <w:p>
            <w:pPr>
              <w:keepNext w:val="0"/>
              <w:keepLines w:val="0"/>
              <w:widowControl/>
              <w:suppressLineNumbers w:val="0"/>
              <w:spacing w:before="0" w:beforeAutospacing="0" w:after="0" w:afterAutospacing="0"/>
              <w:ind w:left="0" w:right="0" w:firstLine="420"/>
              <w:rPr>
                <w:rFonts w:hint="default" w:cs="Times New Roman" w:eastAsiaTheme="minorEastAsia"/>
                <w:b/>
                <w:sz w:val="21"/>
                <w:szCs w:val="21"/>
              </w:rPr>
            </w:pPr>
            <w:r>
              <w:rPr>
                <w:rFonts w:hint="eastAsia" w:cs="Times New Roman" w:eastAsiaTheme="minorEastAsia"/>
                <w:b/>
                <w:sz w:val="21"/>
                <w:szCs w:val="21"/>
              </w:rPr>
              <w:t>4.6</w:t>
            </w:r>
            <w:r>
              <w:rPr>
                <w:rFonts w:hint="default" w:cs="Times New Roman"/>
                <w:b/>
                <w:sz w:val="21"/>
                <w:szCs w:val="21"/>
              </w:rPr>
              <w:t>项目环保设施验收监测内容</w:t>
            </w:r>
          </w:p>
          <w:p>
            <w:pPr>
              <w:keepNext w:val="0"/>
              <w:keepLines w:val="0"/>
              <w:widowControl/>
              <w:suppressLineNumbers w:val="0"/>
              <w:spacing w:before="0" w:beforeAutospacing="0" w:after="0" w:afterAutospacing="0"/>
              <w:ind w:left="0" w:right="0" w:firstLine="420"/>
              <w:rPr>
                <w:rFonts w:hint="default" w:eastAsia="Times New Roman" w:cs="Times New Roman"/>
                <w:sz w:val="21"/>
                <w:szCs w:val="21"/>
              </w:rPr>
            </w:pPr>
            <w:r>
              <w:rPr>
                <w:rFonts w:hint="default" w:cs="Times New Roman"/>
                <w:sz w:val="21"/>
                <w:szCs w:val="21"/>
              </w:rPr>
              <w:t>本项目环保设施主要为污水处理工程，详见</w:t>
            </w:r>
            <w:r>
              <w:rPr>
                <w:rFonts w:hint="eastAsia" w:cs="Times New Roman"/>
                <w:sz w:val="21"/>
                <w:szCs w:val="21"/>
              </w:rPr>
              <w:t>下表</w:t>
            </w:r>
            <w:r>
              <w:rPr>
                <w:rFonts w:hint="default" w:cs="Times New Roman"/>
                <w:sz w:val="21"/>
                <w:szCs w:val="21"/>
              </w:rPr>
              <w:t>。</w:t>
            </w:r>
          </w:p>
          <w:p>
            <w:pPr>
              <w:pStyle w:val="49"/>
              <w:keepNext w:val="0"/>
              <w:keepLines w:val="0"/>
              <w:widowControl/>
              <w:suppressLineNumbers w:val="0"/>
              <w:spacing w:before="0" w:beforeAutospacing="0" w:after="0" w:afterAutospacing="0"/>
              <w:ind w:left="0" w:right="0"/>
              <w:rPr>
                <w:rFonts w:hint="default" w:eastAsia="Times New Roman"/>
                <w:color w:val="auto"/>
                <w:sz w:val="21"/>
                <w:szCs w:val="21"/>
              </w:rPr>
            </w:pPr>
            <w:bookmarkStart w:id="25" w:name="_Toc9318"/>
            <w:bookmarkStart w:id="26" w:name="_Toc532482195"/>
            <w:bookmarkStart w:id="27" w:name="_Toc8074"/>
            <w:r>
              <w:rPr>
                <w:rFonts w:hint="eastAsia"/>
                <w:color w:val="auto"/>
                <w:sz w:val="21"/>
                <w:szCs w:val="21"/>
              </w:rPr>
              <w:t>表4</w:t>
            </w:r>
            <w:r>
              <w:rPr>
                <w:rFonts w:hint="eastAsia"/>
                <w:color w:val="auto"/>
                <w:sz w:val="21"/>
                <w:szCs w:val="21"/>
                <w:lang w:val="en-US" w:eastAsia="zh-CN"/>
              </w:rPr>
              <w:t>-16</w:t>
            </w:r>
            <w:r>
              <w:rPr>
                <w:rFonts w:hint="default" w:eastAsia="Times New Roman"/>
                <w:color w:val="auto"/>
                <w:sz w:val="21"/>
                <w:szCs w:val="21"/>
              </w:rPr>
              <w:t xml:space="preserve">  </w:t>
            </w:r>
            <w:r>
              <w:rPr>
                <w:rFonts w:hint="default"/>
                <w:color w:val="auto"/>
                <w:sz w:val="21"/>
                <w:szCs w:val="21"/>
              </w:rPr>
              <w:t>项目环保设施验收监测内容</w:t>
            </w:r>
            <w:bookmarkEnd w:id="25"/>
            <w:bookmarkEnd w:id="26"/>
            <w:bookmarkEnd w:id="27"/>
          </w:p>
          <w:tbl>
            <w:tblPr>
              <w:tblStyle w:val="25"/>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8"/>
              <w:gridCol w:w="1110"/>
              <w:gridCol w:w="1072"/>
              <w:gridCol w:w="1863"/>
              <w:gridCol w:w="2919"/>
              <w:gridCol w:w="7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污染类型</w:t>
                  </w: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排放源</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监测因子</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防治措施</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验收执行标准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restart"/>
                  <w:tcBorders>
                    <w:top w:val="single" w:color="auto" w:sz="4" w:space="0"/>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废气</w:t>
                  </w: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焊接烟气</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颗粒物</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移动式烟尘净化器</w:t>
                  </w:r>
                </w:p>
              </w:tc>
              <w:tc>
                <w:tcPr>
                  <w:tcW w:w="2919" w:type="dxa"/>
                  <w:vMerge w:val="restart"/>
                  <w:tcBorders>
                    <w:top w:val="single" w:color="auto" w:sz="4" w:space="0"/>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执行《大气污染物综合排放标准》（GB16297-1996）表2中的标准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喷砂废气</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颗粒物</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封闭的喷砂房+抽风管道+水浴池</w:t>
                  </w:r>
                </w:p>
              </w:tc>
              <w:tc>
                <w:tcPr>
                  <w:tcW w:w="2919"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切割废气</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颗粒物</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移动式烟尘净化器</w:t>
                  </w:r>
                </w:p>
              </w:tc>
              <w:tc>
                <w:tcPr>
                  <w:tcW w:w="2919"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vMerge w:val="restart"/>
                  <w:tcBorders>
                    <w:top w:val="single" w:color="auto" w:sz="4" w:space="0"/>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喷漆废气</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VOCs</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cs="Times New Roman"/>
                      <w:szCs w:val="21"/>
                    </w:rPr>
                    <w:t>封闭的</w:t>
                  </w:r>
                  <w:r>
                    <w:rPr>
                      <w:rFonts w:hint="eastAsia"/>
                      <w:szCs w:val="21"/>
                      <w:u w:val="single"/>
                    </w:rPr>
                    <w:t>喷漆房+水帘柜+活性炭吸附装置+UV光解+15m高排气筒</w:t>
                  </w:r>
                </w:p>
              </w:tc>
              <w:tc>
                <w:tcPr>
                  <w:tcW w:w="2919" w:type="dxa"/>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执行《表面涂装（汽车制造及维修）挥发性有机物、镍排放标准》（DB43/1356-2017）中的要求</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vMerge w:val="continue"/>
                  <w:tcBorders>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非甲烷总烃</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无组织排放</w:t>
                  </w:r>
                </w:p>
              </w:tc>
              <w:tc>
                <w:tcPr>
                  <w:tcW w:w="2919" w:type="dxa"/>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执行《表面涂装（汽车制造及维修）挥发性有机物、镍排放标准》（DB43/1356-2017）中的要求及《挥发性有机物无组织排放控制标准》（GB 37822—2019）中的要求</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restart"/>
                  <w:tcBorders>
                    <w:top w:val="single" w:color="auto" w:sz="4" w:space="0"/>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废水</w:t>
                  </w: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生活废水</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eastAsia" w:eastAsia="宋体"/>
                      <w:szCs w:val="21"/>
                      <w:u w:val="single"/>
                      <w:lang w:val="es-ES" w:eastAsia="zh-CN"/>
                    </w:rPr>
                  </w:pPr>
                  <w:r>
                    <w:rPr>
                      <w:rFonts w:hint="default"/>
                      <w:szCs w:val="21"/>
                      <w:u w:val="single"/>
                      <w:lang w:val="es-ES"/>
                    </w:rPr>
                    <w:t>pH值、COD、氨氮、SS</w:t>
                  </w:r>
                  <w:r>
                    <w:rPr>
                      <w:rFonts w:hint="eastAsia"/>
                      <w:szCs w:val="21"/>
                      <w:u w:val="single"/>
                      <w:lang w:val="es-ES" w:eastAsia="zh-CN"/>
                    </w:rPr>
                    <w:t>等</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化粪池</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污水处理厂接纳标准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水压试验废水</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eastAsia" w:eastAsia="宋体"/>
                      <w:szCs w:val="21"/>
                      <w:u w:val="single"/>
                      <w:lang w:val="es-ES" w:eastAsia="zh-CN"/>
                    </w:rPr>
                  </w:pPr>
                  <w:r>
                    <w:rPr>
                      <w:rFonts w:hint="default"/>
                      <w:szCs w:val="21"/>
                      <w:u w:val="single"/>
                      <w:lang w:val="es-ES"/>
                    </w:rPr>
                    <w:t>pH值、COD、氨氮、SS</w:t>
                  </w:r>
                  <w:r>
                    <w:rPr>
                      <w:rFonts w:hint="eastAsia"/>
                      <w:szCs w:val="21"/>
                      <w:u w:val="single"/>
                      <w:lang w:val="es-ES" w:eastAsia="zh-CN"/>
                    </w:rPr>
                    <w:t>等</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污水管网</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污水处理厂接纳标准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restart"/>
                  <w:tcBorders>
                    <w:top w:val="single" w:color="auto" w:sz="4" w:space="0"/>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固废</w:t>
                  </w: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生活垃圾</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环卫部门定期清理外运</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环卫部门定期清理外运</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废边角料</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存放于车间废料区，定期清理，由相关单位集中收购</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存放于车间废料区，定期清理，由相关单位集中收购</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焊渣</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焊渣先暂存于一般固废暂存间，一定数量后联系有资质的单位集中收购。</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焊渣先暂存于一般固废暂存间，一定数量</w:t>
                  </w:r>
                  <w:r>
                    <w:rPr>
                      <w:rFonts w:hint="eastAsia"/>
                      <w:szCs w:val="21"/>
                      <w:u w:val="single"/>
                      <w:lang w:eastAsia="zh-CN"/>
                    </w:rPr>
                    <w:t>后由相关</w:t>
                  </w:r>
                  <w:r>
                    <w:rPr>
                      <w:rFonts w:hint="eastAsia"/>
                      <w:szCs w:val="21"/>
                      <w:u w:val="single"/>
                    </w:rPr>
                    <w:t>单位集中收购。</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废矿物油</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危险废物，由有资质单位收集处理</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危险废物，先暂存于危废暂存间，再由有资质单位收集处理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废漆渣</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危险废物，由有资质单位收集处理</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危险废物，先暂存于危废暂存间，再由有资质单位收集处理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废漆桶、废稀释剂桶</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危险废物，由有资质单位收集处理</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危险废物，先暂存于危废暂存间，再由有资质单位收集处理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废活性炭</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危险废物，由有资质单位收集处理</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危险废物，先暂存于危废暂存间，再由有资质单位收集处理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46"/>
                    <w:keepNext w:val="0"/>
                    <w:keepLines w:val="0"/>
                    <w:suppressLineNumbers w:val="0"/>
                    <w:spacing w:before="31" w:beforeAutospacing="0" w:afterAutospacing="0"/>
                    <w:ind w:left="0" w:right="0" w:firstLine="0" w:firstLineChars="0"/>
                    <w:rPr>
                      <w:rFonts w:hint="eastAsia" w:ascii="Times New Roman" w:hAnsi="宋体" w:eastAsia="Times New Roman" w:cs="宋体"/>
                      <w:bCs/>
                      <w:kern w:val="2"/>
                      <w:sz w:val="21"/>
                      <w:szCs w:val="21"/>
                      <w:lang w:val="en-US" w:eastAsia="zh-CN" w:bidi="ar-SA"/>
                    </w:rPr>
                  </w:pPr>
                  <w:r>
                    <w:rPr>
                      <w:szCs w:val="21"/>
                      <w:u w:val="single"/>
                    </w:rPr>
                    <w:t>水帘柜更换废水</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firstLine="0" w:firstLineChars="0"/>
                    <w:rPr>
                      <w:rFonts w:hint="default" w:ascii="Times New Roman" w:hAnsi="Times New Roman" w:eastAsia="宋体" w:cstheme="minorBidi"/>
                      <w:bCs/>
                      <w:sz w:val="21"/>
                      <w:szCs w:val="21"/>
                      <w:u w:val="single"/>
                      <w:lang w:val="en-US" w:eastAsia="zh-CN" w:bidi="ar-SA"/>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firstLine="0" w:firstLineChars="0"/>
                    <w:rPr>
                      <w:rFonts w:hint="eastAsia" w:ascii="Times New Roman" w:hAnsi="Times New Roman" w:eastAsia="宋体" w:cstheme="minorBidi"/>
                      <w:bCs/>
                      <w:sz w:val="21"/>
                      <w:szCs w:val="21"/>
                      <w:u w:val="single"/>
                      <w:lang w:val="en-US" w:eastAsia="zh-CN" w:bidi="ar-SA"/>
                    </w:rPr>
                  </w:pPr>
                  <w:r>
                    <w:rPr>
                      <w:rFonts w:hint="eastAsia"/>
                      <w:szCs w:val="21"/>
                      <w:u w:val="single"/>
                    </w:rPr>
                    <w:t>危险废物，由有资质单位收集处理</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firstLine="0" w:firstLineChars="0"/>
                    <w:rPr>
                      <w:rFonts w:hint="eastAsia" w:ascii="Times New Roman" w:hAnsi="Times New Roman" w:eastAsia="宋体" w:cstheme="minorBidi"/>
                      <w:bCs/>
                      <w:sz w:val="21"/>
                      <w:szCs w:val="21"/>
                      <w:u w:val="single"/>
                      <w:lang w:val="en-US" w:eastAsia="zh-CN" w:bidi="ar-SA"/>
                    </w:rPr>
                  </w:pPr>
                  <w:r>
                    <w:rPr>
                      <w:rFonts w:hint="eastAsia"/>
                      <w:szCs w:val="21"/>
                      <w:u w:val="single"/>
                    </w:rPr>
                    <w:t>危险废物，先暂存于危废暂存间，再由有资质单位收集处理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vMerge w:val="continue"/>
                  <w:tcBorders>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c>
                <w:tcPr>
                  <w:tcW w:w="1110" w:type="dxa"/>
                  <w:tcBorders>
                    <w:top w:val="single" w:color="auto" w:sz="4" w:space="0"/>
                    <w:left w:val="single" w:color="auto" w:sz="4" w:space="0"/>
                    <w:bottom w:val="single" w:color="auto" w:sz="4" w:space="0"/>
                    <w:right w:val="single" w:color="auto" w:sz="4" w:space="0"/>
                  </w:tcBorders>
                  <w:vAlign w:val="center"/>
                </w:tcPr>
                <w:p>
                  <w:pPr>
                    <w:pStyle w:val="46"/>
                    <w:keepNext w:val="0"/>
                    <w:keepLines w:val="0"/>
                    <w:suppressLineNumbers w:val="0"/>
                    <w:spacing w:before="31" w:beforeAutospacing="0" w:afterAutospacing="0"/>
                    <w:ind w:left="0" w:right="0"/>
                    <w:rPr>
                      <w:rFonts w:hint="default" w:ascii="Times New Roman" w:eastAsia="Times New Roman"/>
                      <w:szCs w:val="21"/>
                    </w:rPr>
                  </w:pPr>
                  <w:r>
                    <w:rPr>
                      <w:rFonts w:hint="eastAsia"/>
                    </w:rPr>
                    <w:t>水浴池捞渣</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先暂存于一般固废暂存间，</w:t>
                  </w:r>
                  <w:r>
                    <w:rPr>
                      <w:rFonts w:hint="eastAsia"/>
                      <w:szCs w:val="21"/>
                      <w:u w:val="single"/>
                      <w:lang w:eastAsia="zh-CN"/>
                    </w:rPr>
                    <w:t>由相关</w:t>
                  </w:r>
                  <w:r>
                    <w:rPr>
                      <w:rFonts w:hint="eastAsia"/>
                      <w:szCs w:val="21"/>
                      <w:u w:val="single"/>
                    </w:rPr>
                    <w:t>单位集中收购。</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eastAsia"/>
                      <w:szCs w:val="21"/>
                      <w:u w:val="single"/>
                    </w:rPr>
                    <w:t>先暂存于一般固废暂存间，</w:t>
                  </w:r>
                  <w:r>
                    <w:rPr>
                      <w:rFonts w:hint="eastAsia"/>
                      <w:szCs w:val="21"/>
                      <w:u w:val="single"/>
                      <w:lang w:eastAsia="zh-CN"/>
                    </w:rPr>
                    <w:t>由相关</w:t>
                  </w:r>
                  <w:r>
                    <w:rPr>
                      <w:rFonts w:hint="eastAsia"/>
                      <w:szCs w:val="21"/>
                      <w:u w:val="single"/>
                    </w:rPr>
                    <w:t>单位集中收购。</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8"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噪声</w:t>
                  </w:r>
                </w:p>
              </w:tc>
              <w:tc>
                <w:tcPr>
                  <w:tcW w:w="1110"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设备</w:t>
                  </w:r>
                </w:p>
              </w:tc>
              <w:tc>
                <w:tcPr>
                  <w:tcW w:w="1072"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LeqA</w:t>
                  </w:r>
                </w:p>
              </w:tc>
              <w:tc>
                <w:tcPr>
                  <w:tcW w:w="1863"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围墙，基础减振</w:t>
                  </w:r>
                  <w:r>
                    <w:rPr>
                      <w:rFonts w:hint="eastAsia"/>
                      <w:szCs w:val="21"/>
                      <w:u w:val="single"/>
                    </w:rPr>
                    <w:t>，隔声等</w:t>
                  </w:r>
                </w:p>
              </w:tc>
              <w:tc>
                <w:tcPr>
                  <w:tcW w:w="2919"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r>
                    <w:rPr>
                      <w:rFonts w:hint="default"/>
                      <w:szCs w:val="21"/>
                      <w:u w:val="single"/>
                    </w:rPr>
                    <w:t>《工业企业厂界环境噪声排放标准》（GB12348-2008）中</w:t>
                  </w:r>
                  <w:r>
                    <w:rPr>
                      <w:rFonts w:hint="eastAsia"/>
                      <w:szCs w:val="21"/>
                      <w:u w:val="single"/>
                    </w:rPr>
                    <w:t>3</w:t>
                  </w:r>
                  <w:r>
                    <w:rPr>
                      <w:rFonts w:hint="default"/>
                      <w:szCs w:val="21"/>
                      <w:u w:val="single"/>
                    </w:rPr>
                    <w:t>类标准</w:t>
                  </w:r>
                </w:p>
              </w:tc>
              <w:tc>
                <w:tcPr>
                  <w:tcW w:w="704" w:type="dxa"/>
                  <w:tcBorders>
                    <w:top w:val="single" w:color="auto" w:sz="4" w:space="0"/>
                    <w:left w:val="single" w:color="auto" w:sz="4" w:space="0"/>
                    <w:bottom w:val="single" w:color="auto" w:sz="4" w:space="0"/>
                    <w:right w:val="single" w:color="auto" w:sz="4" w:space="0"/>
                  </w:tcBorders>
                  <w:vAlign w:val="center"/>
                </w:tcPr>
                <w:p>
                  <w:pPr>
                    <w:pStyle w:val="32"/>
                    <w:keepNext w:val="0"/>
                    <w:keepLines w:val="0"/>
                    <w:widowControl/>
                    <w:suppressLineNumbers w:val="0"/>
                    <w:spacing w:before="0" w:beforeAutospacing="0" w:afterAutospacing="0"/>
                    <w:ind w:left="0" w:right="0"/>
                    <w:rPr>
                      <w:rFonts w:hint="default"/>
                      <w:szCs w:val="21"/>
                      <w:u w:val="single"/>
                    </w:rPr>
                  </w:pPr>
                </w:p>
              </w:tc>
            </w:tr>
          </w:tbl>
          <w:p>
            <w:pPr>
              <w:pStyle w:val="15"/>
              <w:keepNext w:val="0"/>
              <w:keepLines w:val="0"/>
              <w:widowControl/>
              <w:suppressLineNumbers w:val="0"/>
              <w:spacing w:before="0" w:beforeAutospacing="0" w:afterAutospacing="0"/>
              <w:ind w:left="0" w:right="0" w:firstLine="420"/>
              <w:rPr>
                <w:rFonts w:hint="default"/>
                <w:sz w:val="21"/>
                <w:szCs w:val="21"/>
              </w:rPr>
            </w:pPr>
          </w:p>
          <w:p>
            <w:pPr>
              <w:keepNext w:val="0"/>
              <w:keepLines w:val="0"/>
              <w:widowControl w:val="0"/>
              <w:suppressLineNumbers w:val="0"/>
              <w:spacing w:before="0" w:beforeAutospacing="0" w:after="0" w:afterAutospacing="0"/>
              <w:ind w:left="0" w:right="0" w:firstLine="0" w:firstLineChars="0"/>
              <w:jc w:val="both"/>
              <w:rPr>
                <w:rFonts w:hint="default" w:ascii="宋体" w:hAnsi="宋体" w:cs="宋体"/>
                <w:bCs/>
                <w:spacing w:val="-10"/>
                <w:sz w:val="21"/>
                <w:szCs w:val="21"/>
              </w:rPr>
            </w:pPr>
          </w:p>
        </w:tc>
      </w:tr>
    </w:tbl>
    <w:p>
      <w:pPr>
        <w:ind w:firstLine="422"/>
        <w:rPr>
          <w:rFonts w:ascii="宋体" w:cs="宋体"/>
          <w:b/>
          <w:sz w:val="21"/>
          <w:szCs w:val="21"/>
          <w:lang w:bidi="ar"/>
        </w:rPr>
        <w:sectPr>
          <w:pgSz w:w="11915" w:h="16840"/>
          <w:pgMar w:top="1702" w:right="1531" w:bottom="2127" w:left="1531" w:header="851" w:footer="851" w:gutter="0"/>
          <w:pgNumType w:fmt="decimal"/>
          <w:cols w:space="425" w:num="1"/>
          <w:docGrid w:type="lines" w:linePitch="312" w:charSpace="0"/>
        </w:sectPr>
      </w:pPr>
    </w:p>
    <w:p>
      <w:pPr>
        <w:pStyle w:val="8"/>
        <w:ind w:firstLine="562"/>
      </w:pPr>
      <w:bookmarkStart w:id="28" w:name="_Toc21488"/>
      <w:r>
        <w:t>五、</w:t>
      </w:r>
      <w:bookmarkStart w:id="29" w:name="_Hlk54167917"/>
      <w:r>
        <w:t>环境保护措施监督检查清单</w:t>
      </w:r>
      <w:bookmarkEnd w:id="28"/>
      <w:bookmarkEnd w:id="29"/>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78"/>
        <w:gridCol w:w="1755"/>
        <w:gridCol w:w="1755"/>
        <w:gridCol w:w="1755"/>
        <w:gridCol w:w="175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tcBorders>
              <w:top w:val="single" w:color="auto" w:sz="8" w:space="0"/>
              <w:left w:val="single" w:color="auto" w:sz="8" w:space="0"/>
              <w:bottom w:val="single" w:color="auto" w:sz="4" w:space="0"/>
              <w:right w:val="single" w:color="auto" w:sz="4" w:space="0"/>
              <w:tl2br w:val="single" w:color="auto" w:sz="4" w:space="0"/>
            </w:tcBorders>
            <w:shd w:val="clear" w:color="auto" w:fill="auto"/>
          </w:tcPr>
          <w:p>
            <w:pPr>
              <w:pStyle w:val="52"/>
              <w:keepNext w:val="0"/>
              <w:keepLines w:val="0"/>
              <w:suppressLineNumbers w:val="0"/>
              <w:spacing w:before="0" w:beforeAutospacing="0" w:after="0" w:afterAutospacing="0"/>
              <w:ind w:left="0" w:right="0"/>
              <w:rPr>
                <w:rFonts w:hint="default"/>
                <w:szCs w:val="21"/>
              </w:rPr>
            </w:pPr>
            <w:r>
              <w:rPr>
                <w:rFonts w:hint="eastAsia"/>
                <w:szCs w:val="21"/>
              </w:rPr>
              <w:t>内容</w:t>
            </w:r>
          </w:p>
          <w:p>
            <w:pPr>
              <w:pStyle w:val="52"/>
              <w:keepNext w:val="0"/>
              <w:keepLines w:val="0"/>
              <w:suppressLineNumbers w:val="0"/>
              <w:spacing w:before="0" w:beforeAutospacing="0" w:after="0" w:afterAutospacing="0"/>
              <w:ind w:left="0" w:right="0"/>
              <w:rPr>
                <w:rFonts w:hint="default"/>
                <w:szCs w:val="21"/>
              </w:rPr>
            </w:pPr>
            <w:r>
              <w:rPr>
                <w:rFonts w:hint="eastAsia"/>
                <w:szCs w:val="21"/>
              </w:rPr>
              <w:t>要素</w:t>
            </w:r>
          </w:p>
        </w:tc>
        <w:tc>
          <w:tcPr>
            <w:tcW w:w="1755" w:type="dxa"/>
            <w:tcBorders>
              <w:top w:val="single" w:color="auto" w:sz="8"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排放口(编号、</w:t>
            </w:r>
          </w:p>
          <w:p>
            <w:pPr>
              <w:pStyle w:val="52"/>
              <w:keepNext w:val="0"/>
              <w:keepLines w:val="0"/>
              <w:suppressLineNumbers w:val="0"/>
              <w:spacing w:before="0" w:beforeAutospacing="0" w:after="0" w:afterAutospacing="0"/>
              <w:ind w:left="0" w:right="0"/>
              <w:rPr>
                <w:rFonts w:hint="default"/>
                <w:szCs w:val="21"/>
              </w:rPr>
            </w:pPr>
            <w:r>
              <w:rPr>
                <w:rFonts w:hint="eastAsia"/>
                <w:szCs w:val="21"/>
              </w:rPr>
              <w:t>名称)/污染源</w:t>
            </w:r>
          </w:p>
        </w:tc>
        <w:tc>
          <w:tcPr>
            <w:tcW w:w="1755" w:type="dxa"/>
            <w:tcBorders>
              <w:top w:val="single" w:color="auto" w:sz="8"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污染物项目</w:t>
            </w:r>
          </w:p>
        </w:tc>
        <w:tc>
          <w:tcPr>
            <w:tcW w:w="1755" w:type="dxa"/>
            <w:tcBorders>
              <w:top w:val="single" w:color="auto" w:sz="8"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环境保护措施</w:t>
            </w:r>
          </w:p>
        </w:tc>
        <w:tc>
          <w:tcPr>
            <w:tcW w:w="1757" w:type="dxa"/>
            <w:tcBorders>
              <w:top w:val="single" w:color="auto" w:sz="8"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大气环境</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喷漆废气排气筒</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VOCs</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u w:val="single"/>
              </w:rPr>
              <w:t>封闭的喷漆房+水帘柜+活性炭吸附装置+UV光解+</w:t>
            </w:r>
            <w:r>
              <w:rPr>
                <w:rFonts w:hint="default"/>
                <w:szCs w:val="21"/>
                <w:u w:val="single"/>
              </w:rPr>
              <w:t>1</w:t>
            </w:r>
            <w:r>
              <w:rPr>
                <w:rFonts w:hint="eastAsia"/>
                <w:szCs w:val="21"/>
                <w:u w:val="single"/>
              </w:rPr>
              <w:t>5高排气筒</w:t>
            </w: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VOCs执行《表面涂装（汽车制造及维修）挥发性有机物、镍排放标准》（DB43/1356-2017）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无组织排放</w:t>
            </w:r>
          </w:p>
          <w:p>
            <w:pPr>
              <w:pStyle w:val="52"/>
              <w:keepNext w:val="0"/>
              <w:keepLines w:val="0"/>
              <w:suppressLineNumbers w:val="0"/>
              <w:spacing w:before="0" w:beforeAutospacing="0" w:after="0" w:afterAutospacing="0"/>
              <w:ind w:left="0" w:right="0"/>
              <w:rPr>
                <w:rFonts w:hint="default"/>
                <w:szCs w:val="21"/>
              </w:rPr>
            </w:pPr>
            <w:r>
              <w:rPr>
                <w:rFonts w:hint="eastAsia"/>
                <w:szCs w:val="21"/>
                <w:u w:val="single"/>
              </w:rPr>
              <w:t>（焊接烟气、喷砂废气、切割废气）</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颗粒物</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eastAsia" w:eastAsia="宋体"/>
                <w:szCs w:val="21"/>
                <w:lang w:eastAsia="zh-CN"/>
              </w:rPr>
            </w:pPr>
            <w:r>
              <w:rPr>
                <w:rFonts w:hint="eastAsia"/>
                <w:szCs w:val="21"/>
                <w:u w:val="single"/>
              </w:rPr>
              <w:t>焊接烟气、切割废气</w:t>
            </w:r>
            <w:r>
              <w:rPr>
                <w:rFonts w:hint="eastAsia"/>
                <w:szCs w:val="21"/>
                <w:u w:val="single"/>
                <w:lang w:eastAsia="zh-CN"/>
              </w:rPr>
              <w:t>采用</w:t>
            </w:r>
            <w:r>
              <w:rPr>
                <w:rFonts w:hint="eastAsia"/>
                <w:szCs w:val="21"/>
                <w:u w:val="single"/>
              </w:rPr>
              <w:t>移动式烟尘净化器</w:t>
            </w:r>
            <w:r>
              <w:rPr>
                <w:rFonts w:hint="eastAsia"/>
                <w:szCs w:val="21"/>
                <w:u w:val="single"/>
                <w:lang w:eastAsia="zh-CN"/>
              </w:rPr>
              <w:t>处理，</w:t>
            </w:r>
            <w:r>
              <w:rPr>
                <w:rFonts w:hint="eastAsia"/>
                <w:szCs w:val="21"/>
                <w:u w:val="single"/>
              </w:rPr>
              <w:t>喷砂废气</w:t>
            </w:r>
            <w:r>
              <w:rPr>
                <w:rFonts w:hint="eastAsia"/>
                <w:szCs w:val="21"/>
                <w:u w:val="single"/>
                <w:lang w:eastAsia="zh-CN"/>
              </w:rPr>
              <w:t>采用</w:t>
            </w:r>
            <w:r>
              <w:rPr>
                <w:rFonts w:hint="eastAsia"/>
                <w:szCs w:val="21"/>
                <w:u w:val="single"/>
              </w:rPr>
              <w:t>封闭的喷砂房+抽风管道+水浴池</w:t>
            </w:r>
            <w:r>
              <w:rPr>
                <w:rFonts w:hint="eastAsia"/>
                <w:szCs w:val="21"/>
                <w:u w:val="single"/>
                <w:lang w:eastAsia="zh-CN"/>
              </w:rPr>
              <w:t>处理</w:t>
            </w: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《大气污染物综合排放标准》（GB16297-1996）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无组织排放（喷漆废气）</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VOCs</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w:t>
            </w: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执行《表面涂装（汽车制造及维修）挥发性有机物、镍排放标准》（DB43/1356-2017）及《挥发性有机物无组织排放控制标准》（GB 37822—2019）中的要求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地表水环境</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eastAsia" w:eastAsia="宋体"/>
                <w:szCs w:val="21"/>
                <w:lang w:eastAsia="zh-CN"/>
              </w:rPr>
            </w:pPr>
            <w:r>
              <w:rPr>
                <w:rFonts w:hint="eastAsia"/>
                <w:szCs w:val="21"/>
                <w:lang w:eastAsia="zh-CN"/>
              </w:rPr>
              <w:t>废水排放口</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生活废水、水压试验废水</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生活废水化粪池处理后经污水管网排放，水压试验废水经污水管网排放</w:t>
            </w: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罗家坡污水处理厂二期接纳标准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声环境</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厂界噪声</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生产过程</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eastAsia" w:eastAsia="宋体"/>
                <w:szCs w:val="21"/>
                <w:lang w:eastAsia="zh-CN"/>
              </w:rPr>
            </w:pPr>
            <w:r>
              <w:rPr>
                <w:rFonts w:hint="eastAsia"/>
                <w:szCs w:val="21"/>
              </w:rPr>
              <w:t>隔声、减震、降噪</w:t>
            </w:r>
            <w:r>
              <w:rPr>
                <w:rFonts w:hint="eastAsia"/>
                <w:szCs w:val="21"/>
                <w:lang w:eastAsia="zh-CN"/>
              </w:rPr>
              <w:t>等措施</w:t>
            </w: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default"/>
                <w:szCs w:val="21"/>
              </w:rPr>
              <w:t>《工业企业厂界环境噪声排放标准》</w:t>
            </w:r>
            <w:r>
              <w:rPr>
                <w:rFonts w:hint="eastAsia"/>
                <w:szCs w:val="21"/>
              </w:rPr>
              <w:t>（</w:t>
            </w:r>
            <w:r>
              <w:rPr>
                <w:rFonts w:hint="default"/>
                <w:szCs w:val="21"/>
              </w:rPr>
              <w:t>GB12348-2008</w:t>
            </w:r>
            <w:r>
              <w:rPr>
                <w:rFonts w:hint="eastAsia"/>
                <w:szCs w:val="21"/>
              </w:rPr>
              <w:t>）3类标准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电磁辐射</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探伤房</w:t>
            </w:r>
          </w:p>
          <w:p>
            <w:pPr>
              <w:pStyle w:val="52"/>
              <w:keepNext w:val="0"/>
              <w:keepLines w:val="0"/>
              <w:suppressLineNumbers w:val="0"/>
              <w:spacing w:before="0" w:beforeAutospacing="0" w:after="0" w:afterAutospacing="0"/>
              <w:ind w:left="0" w:right="0"/>
              <w:rPr>
                <w:rFonts w:hint="default"/>
                <w:szCs w:val="21"/>
              </w:rPr>
            </w:pPr>
            <w:r>
              <w:rPr>
                <w:rFonts w:hint="eastAsia"/>
                <w:szCs w:val="21"/>
              </w:rPr>
              <w:t>（需</w:t>
            </w:r>
            <w:r>
              <w:rPr>
                <w:rFonts w:hint="default"/>
              </w:rPr>
              <w:t>另</w:t>
            </w:r>
            <w:r>
              <w:rPr>
                <w:rFonts w:hint="eastAsia"/>
              </w:rPr>
              <w:t>做</w:t>
            </w:r>
            <w:r>
              <w:rPr>
                <w:rFonts w:hint="default"/>
              </w:rPr>
              <w:t>环评</w:t>
            </w:r>
            <w:r>
              <w:rPr>
                <w:rFonts w:hint="eastAsia"/>
                <w:szCs w:val="21"/>
              </w:rPr>
              <w:t>）</w:t>
            </w: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c>
          <w:tcPr>
            <w:tcW w:w="17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778" w:type="dxa"/>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固体废物</w:t>
            </w:r>
          </w:p>
        </w:tc>
        <w:tc>
          <w:tcPr>
            <w:tcW w:w="7022" w:type="dxa"/>
            <w:gridSpan w:val="4"/>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firstLine="440" w:firstLineChars="200"/>
              <w:jc w:val="left"/>
              <w:rPr>
                <w:rFonts w:hint="default"/>
                <w:szCs w:val="21"/>
              </w:rPr>
            </w:pPr>
            <w:r>
              <w:rPr>
                <w:rFonts w:hint="eastAsia"/>
                <w:szCs w:val="21"/>
                <w:lang w:eastAsia="zh-CN"/>
              </w:rPr>
              <w:t>本项目固废有</w:t>
            </w:r>
            <w:r>
              <w:rPr>
                <w:rFonts w:hint="eastAsia"/>
                <w:szCs w:val="21"/>
              </w:rPr>
              <w:t>生活垃圾、废边角料、焊渣、废矿物油、废漆渣、废漆桶、废稀释剂桶、废活性炭、</w:t>
            </w:r>
            <w:r>
              <w:rPr>
                <w:rFonts w:hint="eastAsia"/>
                <w:szCs w:val="21"/>
                <w:u w:val="single"/>
              </w:rPr>
              <w:t>水帘柜更换废水</w:t>
            </w:r>
            <w:r>
              <w:rPr>
                <w:rFonts w:hint="eastAsia"/>
                <w:szCs w:val="21"/>
                <w:u w:val="single"/>
                <w:lang w:eastAsia="zh-CN"/>
              </w:rPr>
              <w:t>、</w:t>
            </w:r>
            <w:r>
              <w:rPr>
                <w:rFonts w:hint="eastAsia"/>
                <w:u w:val="single"/>
              </w:rPr>
              <w:t>水浴池捞渣</w:t>
            </w:r>
            <w:r>
              <w:rPr>
                <w:rFonts w:hint="eastAsia"/>
                <w:szCs w:val="21"/>
              </w:rPr>
              <w:t>。生活垃圾环卫部门处置；废边角料存放于车间废料区，定期清理，由相关单位集中收购；焊渣先暂存于一般固废暂存间，一定数量后</w:t>
            </w:r>
            <w:r>
              <w:rPr>
                <w:rFonts w:hint="eastAsia"/>
                <w:szCs w:val="21"/>
                <w:lang w:eastAsia="zh-CN"/>
              </w:rPr>
              <w:t>由相关</w:t>
            </w:r>
            <w:r>
              <w:rPr>
                <w:rFonts w:hint="eastAsia"/>
                <w:szCs w:val="21"/>
              </w:rPr>
              <w:t>单位集中收购；</w:t>
            </w:r>
            <w:r>
              <w:rPr>
                <w:rFonts w:hint="eastAsia"/>
              </w:rPr>
              <w:t>水浴池捞渣</w:t>
            </w:r>
            <w:r>
              <w:rPr>
                <w:rFonts w:hint="eastAsia"/>
                <w:szCs w:val="21"/>
              </w:rPr>
              <w:t>先暂存于一般固废暂存间，</w:t>
            </w:r>
            <w:r>
              <w:rPr>
                <w:rFonts w:hint="eastAsia"/>
                <w:szCs w:val="21"/>
                <w:lang w:eastAsia="zh-CN"/>
              </w:rPr>
              <w:t>由相关</w:t>
            </w:r>
            <w:r>
              <w:rPr>
                <w:rFonts w:hint="eastAsia"/>
                <w:szCs w:val="21"/>
              </w:rPr>
              <w:t>单位集中收购</w:t>
            </w:r>
            <w:r>
              <w:rPr>
                <w:rFonts w:hint="eastAsia"/>
                <w:lang w:eastAsia="zh-CN"/>
              </w:rPr>
              <w:t>；</w:t>
            </w:r>
            <w:r>
              <w:rPr>
                <w:rFonts w:hint="eastAsia"/>
                <w:szCs w:val="21"/>
              </w:rPr>
              <w:t>废矿物油、废漆渣、废漆桶、废稀释剂桶、废活性炭、</w:t>
            </w:r>
            <w:r>
              <w:rPr>
                <w:rFonts w:hint="eastAsia"/>
                <w:szCs w:val="21"/>
                <w:u w:val="single"/>
              </w:rPr>
              <w:t>水帘柜更换废水</w:t>
            </w:r>
            <w:r>
              <w:rPr>
                <w:rFonts w:hint="eastAsia"/>
                <w:szCs w:val="21"/>
              </w:rPr>
              <w:t>属于危险废物，由有资质单位收集处理。</w:t>
            </w:r>
          </w:p>
          <w:p>
            <w:pPr>
              <w:pStyle w:val="52"/>
              <w:keepNext w:val="0"/>
              <w:keepLines w:val="0"/>
              <w:suppressLineNumbers w:val="0"/>
              <w:spacing w:before="0" w:beforeAutospacing="0" w:after="0" w:afterAutospacing="0"/>
              <w:ind w:left="0" w:right="0" w:firstLine="440" w:firstLineChars="200"/>
              <w:jc w:val="left"/>
              <w:rPr>
                <w:rFonts w:hint="default"/>
                <w:szCs w:val="21"/>
              </w:rPr>
            </w:pPr>
            <w:r>
              <w:rPr>
                <w:rFonts w:hint="default"/>
                <w:szCs w:val="21"/>
              </w:rPr>
              <w:t>一般生活垃圾执行《生活垃圾填埋场污染控制标准》（GB16889-2008）</w:t>
            </w:r>
            <w:r>
              <w:rPr>
                <w:rFonts w:hint="eastAsia"/>
                <w:szCs w:val="21"/>
              </w:rPr>
              <w:t>；</w:t>
            </w:r>
            <w:r>
              <w:rPr>
                <w:rFonts w:hint="default"/>
                <w:szCs w:val="21"/>
              </w:rPr>
              <w:t>危险固废执行《危险废物贮存污染控制标准》（GB18597-2001）及2013年修改单和《危险废物收集贮存运输技术规范》（HJ2025-2012）相关标准</w:t>
            </w:r>
            <w:r>
              <w:rPr>
                <w:rFonts w:hint="eastAsia"/>
                <w:szCs w:val="21"/>
              </w:rPr>
              <w:t>；</w:t>
            </w:r>
            <w:r>
              <w:rPr>
                <w:rFonts w:hint="default"/>
                <w:szCs w:val="21"/>
              </w:rPr>
              <w:t>一般固废执行</w:t>
            </w:r>
            <w:r>
              <w:rPr>
                <w:rFonts w:hint="default"/>
                <w:sz w:val="21"/>
                <w:szCs w:val="21"/>
                <w:u w:val="single"/>
              </w:rPr>
              <w:t>《一般工业固体废物贮存</w:t>
            </w:r>
            <w:r>
              <w:rPr>
                <w:rFonts w:hint="eastAsia"/>
                <w:sz w:val="21"/>
                <w:szCs w:val="21"/>
                <w:u w:val="single"/>
                <w:lang w:eastAsia="zh-CN"/>
              </w:rPr>
              <w:t>和填埋</w:t>
            </w:r>
            <w:r>
              <w:rPr>
                <w:rFonts w:hint="default"/>
                <w:sz w:val="21"/>
                <w:szCs w:val="21"/>
                <w:u w:val="single"/>
              </w:rPr>
              <w:t>污染控制标准》（GB18599-20</w:t>
            </w:r>
            <w:r>
              <w:rPr>
                <w:rFonts w:hint="eastAsia"/>
                <w:sz w:val="21"/>
                <w:szCs w:val="21"/>
                <w:u w:val="single"/>
                <w:lang w:val="en-US" w:eastAsia="zh-CN"/>
              </w:rPr>
              <w:t>20</w:t>
            </w:r>
            <w:r>
              <w:rPr>
                <w:rFonts w:hint="default"/>
                <w:sz w:val="21"/>
                <w:szCs w:val="21"/>
                <w:u w:val="single"/>
              </w:rPr>
              <w:t>）</w:t>
            </w:r>
            <w:r>
              <w:rPr>
                <w:rFonts w:hint="eastAsia"/>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778" w:type="dxa"/>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土壤及地下水</w:t>
            </w:r>
          </w:p>
          <w:p>
            <w:pPr>
              <w:pStyle w:val="52"/>
              <w:keepNext w:val="0"/>
              <w:keepLines w:val="0"/>
              <w:suppressLineNumbers w:val="0"/>
              <w:spacing w:before="0" w:beforeAutospacing="0" w:after="0" w:afterAutospacing="0"/>
              <w:ind w:left="0" w:right="0"/>
              <w:rPr>
                <w:rFonts w:hint="default"/>
                <w:szCs w:val="21"/>
              </w:rPr>
            </w:pPr>
            <w:r>
              <w:rPr>
                <w:rFonts w:hint="eastAsia"/>
                <w:szCs w:val="21"/>
              </w:rPr>
              <w:t>污染防治措施</w:t>
            </w:r>
          </w:p>
        </w:tc>
        <w:tc>
          <w:tcPr>
            <w:tcW w:w="7022" w:type="dxa"/>
            <w:gridSpan w:val="4"/>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危废暂存间、喷漆房按重点防渗区要求建设防渗</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778" w:type="dxa"/>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生态保护措施</w:t>
            </w:r>
          </w:p>
        </w:tc>
        <w:tc>
          <w:tcPr>
            <w:tcW w:w="7022" w:type="dxa"/>
            <w:gridSpan w:val="4"/>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绿化</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778" w:type="dxa"/>
            <w:tcBorders>
              <w:top w:val="single" w:color="auto" w:sz="4" w:space="0"/>
              <w:left w:val="single" w:color="auto" w:sz="8" w:space="0"/>
              <w:bottom w:val="single" w:color="auto" w:sz="4"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环境风险</w:t>
            </w:r>
          </w:p>
          <w:p>
            <w:pPr>
              <w:pStyle w:val="52"/>
              <w:keepNext w:val="0"/>
              <w:keepLines w:val="0"/>
              <w:suppressLineNumbers w:val="0"/>
              <w:spacing w:before="0" w:beforeAutospacing="0" w:after="0" w:afterAutospacing="0"/>
              <w:ind w:left="0" w:right="0"/>
              <w:rPr>
                <w:rFonts w:hint="default"/>
                <w:szCs w:val="21"/>
              </w:rPr>
            </w:pPr>
            <w:r>
              <w:rPr>
                <w:rFonts w:hint="eastAsia"/>
                <w:szCs w:val="21"/>
              </w:rPr>
              <w:t>防范措施</w:t>
            </w:r>
          </w:p>
        </w:tc>
        <w:tc>
          <w:tcPr>
            <w:tcW w:w="7022" w:type="dxa"/>
            <w:gridSpan w:val="4"/>
            <w:tcBorders>
              <w:top w:val="single" w:color="auto" w:sz="4" w:space="0"/>
              <w:left w:val="single" w:color="auto" w:sz="4" w:space="0"/>
              <w:bottom w:val="single" w:color="auto" w:sz="4"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分类、合规存放物品，建立风险应急预案及演练要求。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02" w:hRule="atLeast"/>
          <w:jc w:val="center"/>
        </w:trPr>
        <w:tc>
          <w:tcPr>
            <w:tcW w:w="1778" w:type="dxa"/>
            <w:tcBorders>
              <w:top w:val="single" w:color="auto" w:sz="4" w:space="0"/>
              <w:left w:val="single" w:color="auto" w:sz="8" w:space="0"/>
              <w:bottom w:val="single" w:color="auto" w:sz="8" w:space="0"/>
              <w:right w:val="single" w:color="auto" w:sz="4"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其他环境</w:t>
            </w:r>
          </w:p>
          <w:p>
            <w:pPr>
              <w:pStyle w:val="52"/>
              <w:keepNext w:val="0"/>
              <w:keepLines w:val="0"/>
              <w:suppressLineNumbers w:val="0"/>
              <w:spacing w:before="0" w:beforeAutospacing="0" w:after="0" w:afterAutospacing="0"/>
              <w:ind w:left="0" w:right="0"/>
              <w:rPr>
                <w:rFonts w:hint="default"/>
                <w:szCs w:val="21"/>
              </w:rPr>
            </w:pPr>
            <w:r>
              <w:rPr>
                <w:rFonts w:hint="eastAsia"/>
                <w:szCs w:val="21"/>
              </w:rPr>
              <w:t>管理要求</w:t>
            </w:r>
          </w:p>
        </w:tc>
        <w:tc>
          <w:tcPr>
            <w:tcW w:w="7022" w:type="dxa"/>
            <w:gridSpan w:val="4"/>
            <w:tcBorders>
              <w:top w:val="single" w:color="auto" w:sz="4" w:space="0"/>
              <w:left w:val="single" w:color="auto" w:sz="4" w:space="0"/>
              <w:bottom w:val="single" w:color="auto" w:sz="8" w:space="0"/>
              <w:right w:val="single" w:color="auto" w:sz="8" w:space="0"/>
            </w:tcBorders>
            <w:shd w:val="clear" w:color="auto" w:fill="auto"/>
            <w:vAlign w:val="center"/>
          </w:tcPr>
          <w:p>
            <w:pPr>
              <w:pStyle w:val="52"/>
              <w:keepNext w:val="0"/>
              <w:keepLines w:val="0"/>
              <w:suppressLineNumbers w:val="0"/>
              <w:spacing w:before="0" w:beforeAutospacing="0" w:after="0" w:afterAutospacing="0"/>
              <w:ind w:left="0" w:right="0"/>
              <w:rPr>
                <w:rFonts w:hint="default"/>
                <w:szCs w:val="21"/>
              </w:rPr>
            </w:pPr>
            <w:r>
              <w:rPr>
                <w:rFonts w:hint="eastAsia"/>
                <w:szCs w:val="21"/>
              </w:rPr>
              <w:t>无</w:t>
            </w:r>
          </w:p>
        </w:tc>
      </w:tr>
    </w:tbl>
    <w:p>
      <w:pPr>
        <w:pStyle w:val="22"/>
        <w:ind w:firstLine="420"/>
        <w:jc w:val="center"/>
        <w:outlineLvl w:val="0"/>
        <w:rPr>
          <w:rFonts w:ascii="黑体" w:eastAsia="黑体" w:cs="黑体"/>
          <w:sz w:val="21"/>
          <w:szCs w:val="21"/>
        </w:rPr>
      </w:pPr>
      <w:r>
        <w:rPr>
          <w:snapToGrid w:val="0"/>
          <w:sz w:val="21"/>
          <w:szCs w:val="21"/>
          <w:lang w:bidi="ar"/>
        </w:rPr>
        <w:br w:type="page"/>
      </w:r>
      <w:bookmarkStart w:id="30" w:name="_Toc23912"/>
      <w:r>
        <w:rPr>
          <w:rFonts w:ascii="Times New Roman" w:hAnsi="Times New Roman" w:cstheme="minorBidi"/>
          <w:b/>
          <w:bCs/>
          <w:kern w:val="44"/>
          <w:sz w:val="28"/>
          <w:szCs w:val="44"/>
        </w:rPr>
        <w:t>六、结论</w:t>
      </w:r>
      <w:bookmarkEnd w:id="30"/>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194" w:hRule="atLeast"/>
          <w:jc w:val="center"/>
        </w:trPr>
        <w:tc>
          <w:tcPr>
            <w:tcW w:w="8865" w:type="dxa"/>
            <w:tcBorders>
              <w:top w:val="single" w:color="auto" w:sz="8" w:space="0"/>
              <w:left w:val="single" w:color="auto" w:sz="8" w:space="0"/>
              <w:bottom w:val="single" w:color="auto" w:sz="8" w:space="0"/>
              <w:right w:val="single" w:color="auto" w:sz="8" w:space="0"/>
            </w:tcBorders>
            <w:shd w:val="clear" w:color="auto" w:fill="auto"/>
          </w:tcPr>
          <w:p>
            <w:pPr>
              <w:keepNext w:val="0"/>
              <w:keepLines w:val="0"/>
              <w:widowControl/>
              <w:suppressLineNumbers w:val="0"/>
              <w:spacing w:before="0" w:beforeAutospacing="0" w:after="0" w:afterAutospacing="0"/>
              <w:ind w:left="0" w:right="0" w:firstLine="480"/>
              <w:rPr>
                <w:rFonts w:hint="default" w:cs="Times New Roman"/>
                <w:spacing w:val="-6"/>
                <w:sz w:val="21"/>
                <w:szCs w:val="21"/>
              </w:rPr>
            </w:pPr>
            <w:r>
              <w:rPr>
                <w:rFonts w:hint="default"/>
                <w:sz w:val="21"/>
                <w:szCs w:val="21"/>
              </w:rPr>
              <w:t>本项目符合“三线一单”管理要求，符合国家和地方的产业政策，选址合理。在运营过程中，必须严格落实本评价提出的各项污染防治措施和相关管理规定，确保污染物稳定达标排放。只有在严格落实本评价的相关污染防治措施，认真执行环保“三同时”制度的情况下，</w:t>
            </w:r>
            <w:r>
              <w:rPr>
                <w:rFonts w:hint="eastAsia" w:cs="Times New Roman"/>
                <w:spacing w:val="-6"/>
                <w:sz w:val="21"/>
                <w:szCs w:val="21"/>
              </w:rPr>
              <w:t>从环境保护角度，本项目环境影响可行。</w:t>
            </w:r>
          </w:p>
          <w:p>
            <w:pPr>
              <w:keepNext w:val="0"/>
              <w:keepLines w:val="0"/>
              <w:widowControl w:val="0"/>
              <w:suppressLineNumbers w:val="0"/>
              <w:spacing w:before="0" w:beforeAutospacing="0" w:after="0" w:afterAutospacing="0"/>
              <w:ind w:left="0" w:right="0" w:firstLine="420"/>
              <w:jc w:val="both"/>
              <w:rPr>
                <w:rFonts w:hint="default" w:ascii="宋体" w:cs="宋体"/>
                <w:sz w:val="21"/>
                <w:szCs w:val="21"/>
              </w:rPr>
            </w:pPr>
            <w:r>
              <w:rPr>
                <w:rFonts w:hint="eastAsia"/>
                <w:sz w:val="21"/>
                <w:szCs w:val="21"/>
              </w:rPr>
              <w:t>探伤仪器周向辐射携带式X射线机XXHZ-3005周向机，属于辐射类，根据根据《建设项目环境影响评价分类管理名录》（2021版）“五十、核与辐射 172 核技术利用建设项目”需另做环评。</w:t>
            </w:r>
          </w:p>
        </w:tc>
      </w:tr>
    </w:tbl>
    <w:p>
      <w:pPr>
        <w:tabs>
          <w:tab w:val="left" w:pos="1104"/>
        </w:tabs>
        <w:ind w:firstLine="0" w:firstLineChars="0"/>
        <w:rPr>
          <w:rFonts w:hint="eastAsia" w:ascii="宋体" w:cs="Times New Roman"/>
          <w:sz w:val="21"/>
          <w:szCs w:val="21"/>
          <w:lang w:bidi="ar"/>
        </w:rPr>
      </w:pPr>
    </w:p>
    <w:p>
      <w:pPr>
        <w:tabs>
          <w:tab w:val="left" w:pos="948"/>
        </w:tabs>
        <w:ind w:firstLine="420"/>
        <w:rPr>
          <w:rFonts w:ascii="宋体" w:cs="Times New Roman"/>
          <w:sz w:val="21"/>
          <w:szCs w:val="21"/>
          <w:lang w:bidi="ar"/>
        </w:rPr>
        <w:sectPr>
          <w:pgSz w:w="11906" w:h="16838"/>
          <w:pgMar w:top="1702" w:right="1531" w:bottom="1702" w:left="1531" w:header="851" w:footer="851" w:gutter="0"/>
          <w:pgNumType w:fmt="decimal"/>
          <w:cols w:space="425" w:num="1"/>
          <w:docGrid w:type="lines" w:linePitch="312" w:charSpace="0"/>
        </w:sectPr>
      </w:pPr>
      <w:r>
        <w:rPr>
          <w:rFonts w:ascii="宋体" w:cs="Times New Roman"/>
          <w:sz w:val="21"/>
          <w:szCs w:val="21"/>
          <w:lang w:bidi="ar"/>
        </w:rPr>
        <w:tab/>
      </w:r>
    </w:p>
    <w:p>
      <w:pPr>
        <w:pStyle w:val="22"/>
        <w:spacing w:beforeAutospacing="0" w:afterAutospacing="0" w:line="648" w:lineRule="auto"/>
        <w:ind w:firstLine="420"/>
        <w:outlineLvl w:val="0"/>
        <w:rPr>
          <w:rFonts w:ascii="黑体" w:eastAsia="黑体" w:cs="黑体"/>
          <w:sz w:val="21"/>
          <w:szCs w:val="21"/>
        </w:rPr>
      </w:pPr>
      <w:bookmarkStart w:id="31" w:name="_Toc28599"/>
      <w:r>
        <w:rPr>
          <w:rFonts w:ascii="黑体" w:eastAsia="黑体" w:cs="黑体"/>
          <w:snapToGrid w:val="0"/>
          <w:sz w:val="21"/>
          <w:szCs w:val="21"/>
        </w:rPr>
        <w:t>附表</w:t>
      </w:r>
      <w:bookmarkEnd w:id="31"/>
    </w:p>
    <w:p>
      <w:pPr>
        <w:pStyle w:val="22"/>
        <w:spacing w:beforeAutospacing="0" w:afterAutospacing="0"/>
        <w:ind w:firstLine="420"/>
        <w:jc w:val="center"/>
        <w:outlineLvl w:val="0"/>
        <w:rPr>
          <w:rFonts w:ascii="方正小标宋_GBK" w:eastAsia="方正小标宋_GBK" w:cs="方正小标宋_GBK"/>
          <w:sz w:val="21"/>
          <w:szCs w:val="21"/>
        </w:rPr>
      </w:pPr>
      <w:bookmarkStart w:id="32" w:name="_Toc1177"/>
      <w:r>
        <w:rPr>
          <w:rFonts w:ascii="方正小标宋_GBK" w:eastAsia="方正小标宋_GBK" w:cs="方正小标宋_GBK"/>
          <w:snapToGrid w:val="0"/>
          <w:sz w:val="21"/>
          <w:szCs w:val="21"/>
        </w:rPr>
        <w:t>建设项目污染物排放量汇总表</w:t>
      </w:r>
      <w:bookmarkEnd w:id="32"/>
    </w:p>
    <w:tbl>
      <w:tblPr>
        <w:tblStyle w:val="25"/>
        <w:tblW w:w="13790"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2"/>
        <w:gridCol w:w="1276"/>
        <w:gridCol w:w="1702"/>
        <w:gridCol w:w="1559"/>
        <w:gridCol w:w="1761"/>
        <w:gridCol w:w="1828"/>
        <w:gridCol w:w="95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tcBorders>
              <w:top w:val="single" w:color="auto" w:sz="8" w:space="0"/>
              <w:left w:val="single" w:color="auto" w:sz="8" w:space="0"/>
              <w:bottom w:val="single" w:color="auto" w:sz="4" w:space="0"/>
              <w:right w:val="single" w:color="auto" w:sz="4" w:space="0"/>
              <w:tl2br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项目</w:t>
            </w:r>
          </w:p>
          <w:p>
            <w:pPr>
              <w:pStyle w:val="46"/>
              <w:keepNext w:val="0"/>
              <w:keepLines w:val="0"/>
              <w:suppressLineNumbers w:val="0"/>
              <w:bidi w:val="0"/>
              <w:spacing w:before="0" w:beforeAutospacing="0" w:afterAutospacing="0"/>
              <w:ind w:left="0" w:right="0"/>
              <w:rPr>
                <w:rFonts w:hint="default"/>
              </w:rPr>
            </w:pPr>
            <w:r>
              <w:t>分类</w:t>
            </w:r>
          </w:p>
        </w:tc>
        <w:tc>
          <w:tcPr>
            <w:tcW w:w="1417"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污染物名称</w:t>
            </w:r>
          </w:p>
        </w:tc>
        <w:tc>
          <w:tcPr>
            <w:tcW w:w="1702"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现有工程</w:t>
            </w:r>
          </w:p>
          <w:p>
            <w:pPr>
              <w:pStyle w:val="46"/>
              <w:keepNext w:val="0"/>
              <w:keepLines w:val="0"/>
              <w:suppressLineNumbers w:val="0"/>
              <w:bidi w:val="0"/>
              <w:spacing w:before="0" w:beforeAutospacing="0" w:afterAutospacing="0"/>
              <w:ind w:left="0" w:right="0"/>
              <w:rPr>
                <w:rFonts w:hint="default"/>
              </w:rPr>
            </w:pPr>
            <w:r>
              <w:t>排放量（固体废物产生量）</w:t>
            </w:r>
            <w:r>
              <w:fldChar w:fldCharType="begin"/>
            </w:r>
            <w:r>
              <w:instrText xml:space="preserve"> = 1 \* GB3 \* MERGEFORMAT </w:instrText>
            </w:r>
            <w:r>
              <w:fldChar w:fldCharType="separate"/>
            </w:r>
            <w:r>
              <w:t>①</w:t>
            </w:r>
            <w:r>
              <w:fldChar w:fldCharType="end"/>
            </w:r>
          </w:p>
        </w:tc>
        <w:tc>
          <w:tcPr>
            <w:tcW w:w="1276"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现有工程</w:t>
            </w:r>
          </w:p>
          <w:p>
            <w:pPr>
              <w:pStyle w:val="46"/>
              <w:keepNext w:val="0"/>
              <w:keepLines w:val="0"/>
              <w:suppressLineNumbers w:val="0"/>
              <w:bidi w:val="0"/>
              <w:spacing w:before="0" w:beforeAutospacing="0" w:afterAutospacing="0"/>
              <w:ind w:left="0" w:right="0"/>
              <w:rPr>
                <w:rFonts w:hint="default"/>
              </w:rPr>
            </w:pPr>
            <w:r>
              <w:t>许可排放量</w:t>
            </w:r>
          </w:p>
          <w:p>
            <w:pPr>
              <w:pStyle w:val="46"/>
              <w:keepNext w:val="0"/>
              <w:keepLines w:val="0"/>
              <w:suppressLineNumbers w:val="0"/>
              <w:bidi w:val="0"/>
              <w:spacing w:before="0" w:beforeAutospacing="0" w:afterAutospacing="0"/>
              <w:ind w:left="0" w:right="0"/>
              <w:rPr>
                <w:rFonts w:hint="default"/>
              </w:rPr>
            </w:pPr>
            <w:r>
              <w:fldChar w:fldCharType="begin"/>
            </w:r>
            <w:r>
              <w:instrText xml:space="preserve"> = 2 \* GB3 \* MERGEFORMAT </w:instrText>
            </w:r>
            <w:r>
              <w:fldChar w:fldCharType="separate"/>
            </w:r>
            <w:r>
              <w:t>②</w:t>
            </w:r>
            <w:r>
              <w:fldChar w:fldCharType="end"/>
            </w:r>
          </w:p>
        </w:tc>
        <w:tc>
          <w:tcPr>
            <w:tcW w:w="1702"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在建工程</w:t>
            </w:r>
          </w:p>
          <w:p>
            <w:pPr>
              <w:pStyle w:val="46"/>
              <w:keepNext w:val="0"/>
              <w:keepLines w:val="0"/>
              <w:suppressLineNumbers w:val="0"/>
              <w:bidi w:val="0"/>
              <w:spacing w:before="0" w:beforeAutospacing="0" w:afterAutospacing="0"/>
              <w:ind w:left="0" w:right="0"/>
              <w:rPr>
                <w:rFonts w:hint="default"/>
              </w:rPr>
            </w:pPr>
            <w:r>
              <w:t>排放量（固体废物产生量）</w:t>
            </w:r>
            <w:r>
              <w:fldChar w:fldCharType="begin"/>
            </w:r>
            <w:r>
              <w:instrText xml:space="preserve"> = 3 \* GB3 \* MERGEFORMAT </w:instrText>
            </w:r>
            <w:r>
              <w:fldChar w:fldCharType="separate"/>
            </w:r>
            <w:r>
              <w:t>③</w:t>
            </w:r>
            <w:r>
              <w:fldChar w:fldCharType="end"/>
            </w:r>
          </w:p>
        </w:tc>
        <w:tc>
          <w:tcPr>
            <w:tcW w:w="1559"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本项目</w:t>
            </w:r>
          </w:p>
          <w:p>
            <w:pPr>
              <w:pStyle w:val="46"/>
              <w:keepNext w:val="0"/>
              <w:keepLines w:val="0"/>
              <w:suppressLineNumbers w:val="0"/>
              <w:bidi w:val="0"/>
              <w:spacing w:before="0" w:beforeAutospacing="0" w:afterAutospacing="0"/>
              <w:ind w:left="0" w:right="0"/>
              <w:rPr>
                <w:rFonts w:hint="default"/>
              </w:rPr>
            </w:pPr>
            <w:r>
              <w:t>排放量（固体废物产生量）</w:t>
            </w:r>
            <w:r>
              <w:fldChar w:fldCharType="begin"/>
            </w:r>
            <w:r>
              <w:instrText xml:space="preserve"> = 4 \* GB3 \* MERGEFORMAT </w:instrText>
            </w:r>
            <w:r>
              <w:fldChar w:fldCharType="separate"/>
            </w:r>
            <w:r>
              <w:t>④</w:t>
            </w:r>
            <w:r>
              <w:fldChar w:fldCharType="end"/>
            </w:r>
          </w:p>
        </w:tc>
        <w:tc>
          <w:tcPr>
            <w:tcW w:w="1761"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以新带老削减量</w:t>
            </w:r>
          </w:p>
          <w:p>
            <w:pPr>
              <w:pStyle w:val="46"/>
              <w:keepNext w:val="0"/>
              <w:keepLines w:val="0"/>
              <w:suppressLineNumbers w:val="0"/>
              <w:bidi w:val="0"/>
              <w:spacing w:before="0" w:beforeAutospacing="0" w:afterAutospacing="0"/>
              <w:ind w:left="0" w:right="0"/>
              <w:rPr>
                <w:rFonts w:hint="default"/>
              </w:rPr>
            </w:pPr>
            <w:r>
              <w:t>（新建项目不填）</w:t>
            </w:r>
            <w:r>
              <w:fldChar w:fldCharType="begin"/>
            </w:r>
            <w:r>
              <w:instrText xml:space="preserve"> = 5 \* GB3 \* MERGEFORMAT </w:instrText>
            </w:r>
            <w:r>
              <w:fldChar w:fldCharType="separate"/>
            </w:r>
            <w:r>
              <w:t>⑤</w:t>
            </w:r>
            <w:r>
              <w:fldChar w:fldCharType="end"/>
            </w:r>
          </w:p>
        </w:tc>
        <w:tc>
          <w:tcPr>
            <w:tcW w:w="1828" w:type="dxa"/>
            <w:tcBorders>
              <w:top w:val="single" w:color="auto" w:sz="8" w:space="0"/>
              <w:left w:val="single" w:color="auto" w:sz="4" w:space="0"/>
              <w:bottom w:val="single" w:color="auto" w:sz="4" w:space="0"/>
              <w:right w:val="single" w:color="auto" w:sz="4"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本项目建成后</w:t>
            </w:r>
          </w:p>
          <w:p>
            <w:pPr>
              <w:pStyle w:val="46"/>
              <w:keepNext w:val="0"/>
              <w:keepLines w:val="0"/>
              <w:suppressLineNumbers w:val="0"/>
              <w:bidi w:val="0"/>
              <w:spacing w:before="0" w:beforeAutospacing="0" w:afterAutospacing="0"/>
              <w:ind w:left="0" w:right="0"/>
              <w:rPr>
                <w:rFonts w:hint="default"/>
              </w:rPr>
            </w:pPr>
            <w:r>
              <w:t>全厂排放量（固体废物产生量）</w:t>
            </w:r>
            <w:r>
              <w:fldChar w:fldCharType="begin"/>
            </w:r>
            <w:r>
              <w:instrText xml:space="preserve"> = 6 \* GB3 \* MERGEFORMAT </w:instrText>
            </w:r>
            <w:r>
              <w:fldChar w:fldCharType="separate"/>
            </w:r>
            <w:r>
              <w:t>⑥</w:t>
            </w:r>
            <w:r>
              <w:fldChar w:fldCharType="end"/>
            </w:r>
          </w:p>
        </w:tc>
        <w:tc>
          <w:tcPr>
            <w:tcW w:w="957" w:type="dxa"/>
            <w:tcBorders>
              <w:top w:val="single" w:color="auto" w:sz="8" w:space="0"/>
              <w:left w:val="single" w:color="auto" w:sz="4" w:space="0"/>
              <w:bottom w:val="single" w:color="auto" w:sz="4" w:space="0"/>
              <w:right w:val="single" w:color="auto" w:sz="8" w:space="0"/>
            </w:tcBorders>
            <w:shd w:val="clear" w:color="auto" w:fill="auto"/>
            <w:tcMar>
              <w:left w:w="28" w:type="dxa"/>
              <w:right w:w="28" w:type="dxa"/>
            </w:tcMar>
            <w:vAlign w:val="center"/>
          </w:tcPr>
          <w:p>
            <w:pPr>
              <w:pStyle w:val="46"/>
              <w:keepNext w:val="0"/>
              <w:keepLines w:val="0"/>
              <w:suppressLineNumbers w:val="0"/>
              <w:bidi w:val="0"/>
              <w:spacing w:before="0" w:beforeAutospacing="0" w:afterAutospacing="0"/>
              <w:ind w:left="0" w:right="0"/>
              <w:rPr>
                <w:rFonts w:hint="default"/>
              </w:rPr>
            </w:pPr>
            <w:r>
              <w:t>变化量</w:t>
            </w:r>
          </w:p>
          <w:p>
            <w:pPr>
              <w:pStyle w:val="46"/>
              <w:keepNext w:val="0"/>
              <w:keepLines w:val="0"/>
              <w:suppressLineNumbers w:val="0"/>
              <w:bidi w:val="0"/>
              <w:spacing w:before="0" w:beforeAutospacing="0" w:afterAutospacing="0"/>
              <w:ind w:left="0" w:right="0"/>
              <w:rPr>
                <w:rFonts w:hint="default"/>
              </w:rPr>
            </w:pPr>
            <w:r>
              <w:fldChar w:fldCharType="begin"/>
            </w:r>
            <w:r>
              <w:instrText xml:space="preserve"> = 7 \* GB3 \* MERGEFORMAT </w:instrText>
            </w:r>
            <w:r>
              <w:fldChar w:fldCharType="separate"/>
            </w:r>
            <w:r>
              <w:t>⑦</w:t>
            </w:r>
            <w: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废气</w:t>
            </w: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pPr>
            <w:r>
              <w:rPr>
                <w:rFonts w:hint="eastAsia"/>
              </w:rPr>
              <w:t>颗粒物</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2.085</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2.085</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w:t>
            </w:r>
            <w:r>
              <w:rPr>
                <w:rFonts w:hint="default"/>
              </w:rPr>
              <w:t>2.085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pPr>
            <w:r>
              <w:rPr>
                <w:rFonts w:hint="eastAsia"/>
              </w:rPr>
              <w:t>VOCs</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eastAsia"/>
              </w:rPr>
              <w:t>0.8392</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eastAsia"/>
              </w:rPr>
              <w:t>0.8392</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w:t>
            </w:r>
            <w:r>
              <w:rPr>
                <w:rFonts w:hint="eastAsia"/>
              </w:rPr>
              <w:t>0.8392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废水</w:t>
            </w: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废水量</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2090</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2090</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+2090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COD</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0.1045</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0.1045</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w:t>
            </w:r>
            <w:r>
              <w:rPr>
                <w:rFonts w:hint="default"/>
              </w:rPr>
              <w:t>0.1045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氨氮</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0.</w:t>
            </w:r>
            <w:r>
              <w:t>0</w:t>
            </w:r>
            <w:r>
              <w:rPr>
                <w:rFonts w:hint="default"/>
              </w:rPr>
              <w:t>1045</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0.</w:t>
            </w:r>
            <w:r>
              <w:t>0</w:t>
            </w:r>
            <w:r>
              <w:rPr>
                <w:rFonts w:hint="default"/>
              </w:rPr>
              <w:t>1045</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w:t>
            </w:r>
            <w:r>
              <w:rPr>
                <w:rFonts w:hint="default"/>
              </w:rPr>
              <w:t>0.</w:t>
            </w:r>
            <w:r>
              <w:t>0</w:t>
            </w:r>
            <w:r>
              <w:rPr>
                <w:rFonts w:hint="default"/>
              </w:rPr>
              <w:t>1045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restart"/>
            <w:tcBorders>
              <w:top w:val="single" w:color="auto" w:sz="4" w:space="0"/>
              <w:left w:val="single" w:color="auto" w:sz="8"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一般工业</w:t>
            </w:r>
          </w:p>
          <w:p>
            <w:pPr>
              <w:pStyle w:val="46"/>
              <w:keepNext w:val="0"/>
              <w:keepLines w:val="0"/>
              <w:suppressLineNumbers w:val="0"/>
              <w:bidi w:val="0"/>
              <w:spacing w:before="0" w:beforeAutospacing="0" w:afterAutospacing="0"/>
              <w:ind w:left="0" w:right="0"/>
              <w:rPr>
                <w:rFonts w:hint="default"/>
              </w:rPr>
            </w:pPr>
            <w:r>
              <w:t>固体废物</w:t>
            </w: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废边角料</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500</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500</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+500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r>
              <w:t>焊渣</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r>
              <w:t>22.7</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r>
              <w:t>22.7</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lang w:val="en-US" w:eastAsia="zh-CN"/>
              </w:rPr>
            </w:pPr>
            <w:r>
              <w:t>+22.7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水浴池捞渣</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0.134</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default"/>
              </w:rPr>
              <w:t>0.134</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rPr>
                <w:rFonts w:hint="eastAsia"/>
                <w:lang w:val="en-US" w:eastAsia="zh-CN"/>
              </w:rPr>
              <w:t>+</w:t>
            </w:r>
            <w:r>
              <w:rPr>
                <w:rFonts w:hint="default"/>
              </w:rPr>
              <w:t>0.134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restart"/>
            <w:tcBorders>
              <w:top w:val="single" w:color="auto" w:sz="4" w:space="0"/>
              <w:left w:val="single" w:color="auto" w:sz="8"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危险废物</w:t>
            </w: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废矿物油</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0.1</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0.1</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废漆渣</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0.036</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0.036</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+0.036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废漆桶、废稀释剂桶</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0.625</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0.625</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+0.625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left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41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水帘柜更换废水</w:t>
            </w: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12</w:t>
            </w:r>
          </w:p>
        </w:tc>
        <w:tc>
          <w:tcPr>
            <w:tcW w:w="1761"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12</w:t>
            </w:r>
          </w:p>
        </w:tc>
        <w:tc>
          <w:tcPr>
            <w:tcW w:w="957" w:type="dxa"/>
            <w:tcBorders>
              <w:top w:val="single" w:color="auto" w:sz="4" w:space="0"/>
              <w:left w:val="single" w:color="auto" w:sz="4" w:space="0"/>
              <w:bottom w:val="single" w:color="auto" w:sz="4"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88" w:type="dxa"/>
            <w:vMerge w:val="continue"/>
            <w:tcBorders>
              <w:top w:val="single" w:color="auto" w:sz="4" w:space="0"/>
              <w:left w:val="single" w:color="auto" w:sz="8"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pPr>
          </w:p>
        </w:tc>
        <w:tc>
          <w:tcPr>
            <w:tcW w:w="1417"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r>
              <w:t>废活性炭</w:t>
            </w:r>
          </w:p>
        </w:tc>
        <w:tc>
          <w:tcPr>
            <w:tcW w:w="1702"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276"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702"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559"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eastAsia"/>
                <w:lang w:eastAsia="zh-CN"/>
              </w:rPr>
            </w:pPr>
            <w:r>
              <w:rPr>
                <w:rFonts w:hint="eastAsia"/>
                <w:lang w:val="en-US" w:eastAsia="zh-CN"/>
              </w:rPr>
              <w:t>2</w:t>
            </w:r>
          </w:p>
        </w:tc>
        <w:tc>
          <w:tcPr>
            <w:tcW w:w="1761"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default"/>
              </w:rPr>
            </w:pPr>
          </w:p>
        </w:tc>
        <w:tc>
          <w:tcPr>
            <w:tcW w:w="1828" w:type="dxa"/>
            <w:tcBorders>
              <w:top w:val="single" w:color="auto" w:sz="4" w:space="0"/>
              <w:left w:val="single" w:color="auto" w:sz="4" w:space="0"/>
              <w:bottom w:val="single" w:color="auto" w:sz="8" w:space="0"/>
              <w:right w:val="single" w:color="auto" w:sz="4" w:space="0"/>
            </w:tcBorders>
            <w:shd w:val="clear" w:color="auto" w:fill="auto"/>
            <w:vAlign w:val="center"/>
          </w:tcPr>
          <w:p>
            <w:pPr>
              <w:pStyle w:val="46"/>
              <w:keepNext w:val="0"/>
              <w:keepLines w:val="0"/>
              <w:suppressLineNumbers w:val="0"/>
              <w:bidi w:val="0"/>
              <w:spacing w:before="0" w:beforeAutospacing="0" w:afterAutospacing="0"/>
              <w:ind w:left="0" w:right="0"/>
              <w:rPr>
                <w:rFonts w:hint="eastAsia"/>
                <w:lang w:eastAsia="zh-CN"/>
              </w:rPr>
            </w:pPr>
            <w:r>
              <w:rPr>
                <w:rFonts w:hint="eastAsia"/>
                <w:lang w:val="en-US" w:eastAsia="zh-CN"/>
              </w:rPr>
              <w:t>2</w:t>
            </w:r>
          </w:p>
        </w:tc>
        <w:tc>
          <w:tcPr>
            <w:tcW w:w="957" w:type="dxa"/>
            <w:tcBorders>
              <w:top w:val="single" w:color="auto" w:sz="4" w:space="0"/>
              <w:left w:val="single" w:color="auto" w:sz="4" w:space="0"/>
              <w:bottom w:val="single" w:color="auto" w:sz="8" w:space="0"/>
              <w:right w:val="single" w:color="auto" w:sz="8" w:space="0"/>
            </w:tcBorders>
            <w:shd w:val="clear" w:color="auto" w:fill="auto"/>
            <w:vAlign w:val="center"/>
          </w:tcPr>
          <w:p>
            <w:pPr>
              <w:pStyle w:val="46"/>
              <w:keepNext w:val="0"/>
              <w:keepLines w:val="0"/>
              <w:suppressLineNumbers w:val="0"/>
              <w:bidi w:val="0"/>
              <w:spacing w:before="0" w:beforeAutospacing="0" w:afterAutospacing="0"/>
              <w:ind w:left="0" w:right="0"/>
              <w:rPr>
                <w:rFonts w:hint="eastAsia"/>
                <w:lang w:eastAsia="zh-CN"/>
              </w:rPr>
            </w:pPr>
            <w:r>
              <w:t>+</w:t>
            </w:r>
            <w:r>
              <w:rPr>
                <w:rFonts w:hint="eastAsia"/>
                <w:lang w:val="en-US" w:eastAsia="zh-CN"/>
              </w:rPr>
              <w:t>2</w:t>
            </w:r>
          </w:p>
        </w:tc>
      </w:tr>
    </w:tbl>
    <w:p>
      <w:pPr>
        <w:pStyle w:val="46"/>
        <w:widowControl/>
        <w:spacing w:before="260" w:beforeLines="80" w:after="24"/>
        <w:ind w:firstLine="420"/>
        <w:jc w:val="left"/>
        <w:rPr>
          <w:rFonts w:hint="default"/>
          <w:snapToGrid w:val="0"/>
          <w:spacing w:val="-6"/>
          <w:kern w:val="21"/>
          <w:szCs w:val="21"/>
        </w:rPr>
      </w:pPr>
      <w:r>
        <w:rPr>
          <w:snapToGrid w:val="0"/>
          <w:kern w:val="21"/>
          <w:szCs w:val="21"/>
        </w:rPr>
        <w:t>注：</w:t>
      </w:r>
      <w:r>
        <w:rPr>
          <w:spacing w:val="-16"/>
          <w:kern w:val="21"/>
          <w:szCs w:val="21"/>
        </w:rPr>
        <w:fldChar w:fldCharType="begin"/>
      </w:r>
      <w:r>
        <w:rPr>
          <w:snapToGrid w:val="0"/>
          <w:spacing w:val="-16"/>
          <w:kern w:val="21"/>
          <w:szCs w:val="21"/>
        </w:rPr>
        <w:instrText xml:space="preserve"> = 6 \* GB3 \* MERGEFORMAT </w:instrText>
      </w:r>
      <w:r>
        <w:rPr>
          <w:spacing w:val="-16"/>
          <w:kern w:val="21"/>
          <w:szCs w:val="21"/>
        </w:rPr>
        <w:fldChar w:fldCharType="separate"/>
      </w:r>
      <w:r>
        <w:rPr>
          <w:szCs w:val="21"/>
        </w:rPr>
        <w:t>⑥</w:t>
      </w:r>
      <w:r>
        <w:rPr>
          <w:spacing w:val="-16"/>
          <w:kern w:val="21"/>
          <w:szCs w:val="21"/>
        </w:rPr>
        <w:fldChar w:fldCharType="end"/>
      </w:r>
      <w:r>
        <w:rPr>
          <w:snapToGrid w:val="0"/>
          <w:spacing w:val="-16"/>
          <w:kern w:val="21"/>
          <w:szCs w:val="21"/>
        </w:rPr>
        <w:t>=</w:t>
      </w:r>
      <w:r>
        <w:rPr>
          <w:spacing w:val="-6"/>
          <w:kern w:val="21"/>
          <w:szCs w:val="21"/>
        </w:rPr>
        <w:fldChar w:fldCharType="begin"/>
      </w:r>
      <w:r>
        <w:rPr>
          <w:snapToGrid w:val="0"/>
          <w:spacing w:val="-6"/>
          <w:kern w:val="21"/>
          <w:szCs w:val="21"/>
        </w:rPr>
        <w:instrText xml:space="preserve"> = 1 \* GB3 \* MERGEFORMAT </w:instrText>
      </w:r>
      <w:r>
        <w:rPr>
          <w:spacing w:val="-6"/>
          <w:kern w:val="21"/>
          <w:szCs w:val="21"/>
        </w:rPr>
        <w:fldChar w:fldCharType="separate"/>
      </w:r>
      <w:r>
        <w:rPr>
          <w:szCs w:val="21"/>
        </w:rPr>
        <w:t>①</w:t>
      </w:r>
      <w:r>
        <w:rPr>
          <w:spacing w:val="-6"/>
          <w:kern w:val="21"/>
          <w:szCs w:val="21"/>
        </w:rPr>
        <w:fldChar w:fldCharType="end"/>
      </w:r>
      <w:r>
        <w:rPr>
          <w:snapToGrid w:val="0"/>
          <w:spacing w:val="-6"/>
          <w:kern w:val="21"/>
          <w:szCs w:val="21"/>
        </w:rPr>
        <w:t>+</w:t>
      </w:r>
      <w:r>
        <w:rPr>
          <w:spacing w:val="-6"/>
          <w:kern w:val="21"/>
          <w:szCs w:val="21"/>
        </w:rPr>
        <w:fldChar w:fldCharType="begin"/>
      </w:r>
      <w:r>
        <w:rPr>
          <w:snapToGrid w:val="0"/>
          <w:spacing w:val="-6"/>
          <w:kern w:val="21"/>
          <w:szCs w:val="21"/>
        </w:rPr>
        <w:instrText xml:space="preserve"> = 3 \* GB3 \* MERGEFORMAT </w:instrText>
      </w:r>
      <w:r>
        <w:rPr>
          <w:spacing w:val="-6"/>
          <w:kern w:val="21"/>
          <w:szCs w:val="21"/>
        </w:rPr>
        <w:fldChar w:fldCharType="separate"/>
      </w:r>
      <w:r>
        <w:rPr>
          <w:szCs w:val="21"/>
        </w:rPr>
        <w:t>③</w:t>
      </w:r>
      <w:r>
        <w:rPr>
          <w:spacing w:val="-6"/>
          <w:kern w:val="21"/>
          <w:szCs w:val="21"/>
        </w:rPr>
        <w:fldChar w:fldCharType="end"/>
      </w:r>
      <w:r>
        <w:rPr>
          <w:snapToGrid w:val="0"/>
          <w:spacing w:val="-6"/>
          <w:kern w:val="21"/>
          <w:szCs w:val="21"/>
        </w:rPr>
        <w:t>+</w:t>
      </w:r>
      <w:r>
        <w:rPr>
          <w:spacing w:val="-6"/>
          <w:kern w:val="21"/>
          <w:szCs w:val="21"/>
        </w:rPr>
        <w:fldChar w:fldCharType="begin"/>
      </w:r>
      <w:r>
        <w:rPr>
          <w:snapToGrid w:val="0"/>
          <w:spacing w:val="-6"/>
          <w:kern w:val="21"/>
          <w:szCs w:val="21"/>
        </w:rPr>
        <w:instrText xml:space="preserve"> = 4 \* GB3 \* MERGEFORMAT </w:instrText>
      </w:r>
      <w:r>
        <w:rPr>
          <w:spacing w:val="-6"/>
          <w:kern w:val="21"/>
          <w:szCs w:val="21"/>
        </w:rPr>
        <w:fldChar w:fldCharType="separate"/>
      </w:r>
      <w:r>
        <w:rPr>
          <w:szCs w:val="21"/>
        </w:rPr>
        <w:t>④</w:t>
      </w:r>
      <w:r>
        <w:rPr>
          <w:spacing w:val="-6"/>
          <w:kern w:val="21"/>
          <w:szCs w:val="21"/>
        </w:rPr>
        <w:fldChar w:fldCharType="end"/>
      </w:r>
      <w:r>
        <w:rPr>
          <w:snapToGrid w:val="0"/>
          <w:spacing w:val="-6"/>
          <w:kern w:val="21"/>
          <w:szCs w:val="21"/>
        </w:rPr>
        <w:t>-</w:t>
      </w:r>
      <w:r>
        <w:rPr>
          <w:spacing w:val="-16"/>
          <w:kern w:val="21"/>
          <w:szCs w:val="21"/>
        </w:rPr>
        <w:fldChar w:fldCharType="begin"/>
      </w:r>
      <w:r>
        <w:rPr>
          <w:snapToGrid w:val="0"/>
          <w:spacing w:val="-16"/>
          <w:kern w:val="21"/>
          <w:szCs w:val="21"/>
        </w:rPr>
        <w:instrText xml:space="preserve"> = 5 \* GB3 \* MERGEFORMAT </w:instrText>
      </w:r>
      <w:r>
        <w:rPr>
          <w:spacing w:val="-16"/>
          <w:kern w:val="21"/>
          <w:szCs w:val="21"/>
        </w:rPr>
        <w:fldChar w:fldCharType="separate"/>
      </w:r>
      <w:r>
        <w:rPr>
          <w:szCs w:val="21"/>
        </w:rPr>
        <w:t>⑤</w:t>
      </w:r>
      <w:r>
        <w:rPr>
          <w:spacing w:val="-16"/>
          <w:kern w:val="21"/>
          <w:szCs w:val="21"/>
        </w:rPr>
        <w:fldChar w:fldCharType="end"/>
      </w:r>
      <w:r>
        <w:rPr>
          <w:snapToGrid w:val="0"/>
          <w:spacing w:val="-16"/>
          <w:kern w:val="21"/>
          <w:szCs w:val="21"/>
        </w:rPr>
        <w:t>；</w:t>
      </w:r>
      <w:r>
        <w:rPr>
          <w:spacing w:val="-6"/>
          <w:kern w:val="21"/>
          <w:szCs w:val="21"/>
        </w:rPr>
        <w:fldChar w:fldCharType="begin"/>
      </w:r>
      <w:r>
        <w:rPr>
          <w:snapToGrid w:val="0"/>
          <w:spacing w:val="-6"/>
          <w:kern w:val="21"/>
          <w:szCs w:val="21"/>
        </w:rPr>
        <w:instrText xml:space="preserve"> = 7 \* GB3 \* MERGEFORMAT </w:instrText>
      </w:r>
      <w:r>
        <w:rPr>
          <w:spacing w:val="-6"/>
          <w:kern w:val="21"/>
          <w:szCs w:val="21"/>
        </w:rPr>
        <w:fldChar w:fldCharType="separate"/>
      </w:r>
      <w:r>
        <w:rPr>
          <w:szCs w:val="21"/>
        </w:rPr>
        <w:t>⑦</w:t>
      </w:r>
      <w:r>
        <w:rPr>
          <w:spacing w:val="-6"/>
          <w:kern w:val="21"/>
          <w:szCs w:val="21"/>
        </w:rPr>
        <w:fldChar w:fldCharType="end"/>
      </w:r>
      <w:r>
        <w:rPr>
          <w:snapToGrid w:val="0"/>
          <w:spacing w:val="-6"/>
          <w:kern w:val="21"/>
          <w:szCs w:val="21"/>
        </w:rPr>
        <w:t>=</w:t>
      </w:r>
      <w:r>
        <w:rPr>
          <w:spacing w:val="-16"/>
          <w:kern w:val="21"/>
          <w:szCs w:val="21"/>
        </w:rPr>
        <w:fldChar w:fldCharType="begin"/>
      </w:r>
      <w:r>
        <w:rPr>
          <w:snapToGrid w:val="0"/>
          <w:spacing w:val="-16"/>
          <w:kern w:val="21"/>
          <w:szCs w:val="21"/>
        </w:rPr>
        <w:instrText xml:space="preserve"> = 6 \* GB3 \* MERGEFORMAT </w:instrText>
      </w:r>
      <w:r>
        <w:rPr>
          <w:spacing w:val="-16"/>
          <w:kern w:val="21"/>
          <w:szCs w:val="21"/>
        </w:rPr>
        <w:fldChar w:fldCharType="separate"/>
      </w:r>
      <w:r>
        <w:rPr>
          <w:szCs w:val="21"/>
        </w:rPr>
        <w:t>⑥</w:t>
      </w:r>
      <w:r>
        <w:rPr>
          <w:spacing w:val="-16"/>
          <w:kern w:val="21"/>
          <w:szCs w:val="21"/>
        </w:rPr>
        <w:fldChar w:fldCharType="end"/>
      </w:r>
      <w:r>
        <w:rPr>
          <w:snapToGrid w:val="0"/>
          <w:spacing w:val="-16"/>
          <w:kern w:val="21"/>
          <w:szCs w:val="21"/>
        </w:rPr>
        <w:t>-</w:t>
      </w:r>
      <w:r>
        <w:rPr>
          <w:spacing w:val="-6"/>
          <w:kern w:val="21"/>
          <w:szCs w:val="21"/>
        </w:rPr>
        <w:fldChar w:fldCharType="begin"/>
      </w:r>
      <w:r>
        <w:rPr>
          <w:snapToGrid w:val="0"/>
          <w:spacing w:val="-6"/>
          <w:kern w:val="21"/>
          <w:szCs w:val="21"/>
        </w:rPr>
        <w:instrText xml:space="preserve"> = 1 \* GB3 \* MERGEFORMAT </w:instrText>
      </w:r>
      <w:r>
        <w:rPr>
          <w:spacing w:val="-6"/>
          <w:kern w:val="21"/>
          <w:szCs w:val="21"/>
        </w:rPr>
        <w:fldChar w:fldCharType="separate"/>
      </w:r>
      <w:r>
        <w:rPr>
          <w:szCs w:val="21"/>
        </w:rPr>
        <w:t>①</w:t>
      </w:r>
      <w:r>
        <w:rPr>
          <w:spacing w:val="-6"/>
          <w:kern w:val="21"/>
          <w:szCs w:val="21"/>
        </w:rPr>
        <w:fldChar w:fldCharType="end"/>
      </w:r>
    </w:p>
    <w:p>
      <w:pPr>
        <w:ind w:left="0" w:leftChars="0" w:firstLine="0" w:firstLineChars="0"/>
        <w:rPr>
          <w:sz w:val="21"/>
          <w:szCs w:val="21"/>
        </w:rPr>
      </w:pPr>
    </w:p>
    <w:sectPr>
      <w:pgSz w:w="16838" w:h="11906" w:orient="landscape"/>
      <w:pgMar w:top="1531" w:right="1702" w:bottom="1531" w:left="1702" w:header="851" w:footer="851" w:gutter="0"/>
      <w:pgNumType w:fmt="decimal"/>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方正小标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楷体_GB2312">
    <w:altName w:val="楷体"/>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Wingdings 2">
    <w:panose1 w:val="05020102010507070707"/>
    <w:charset w:val="02"/>
    <w:family w:val="roman"/>
    <w:pitch w:val="default"/>
    <w:sig w:usb0="00000000" w:usb1="00000000" w:usb2="00000000" w:usb3="00000000" w:csb0="80000000" w:csb1="00000000"/>
  </w:font>
  <w:font w:name="Tahoma">
    <w:panose1 w:val="020B0604030504040204"/>
    <w:charset w:val="00"/>
    <w:family w:val="auto"/>
    <w:pitch w:val="default"/>
    <w:sig w:usb0="E1002EFF" w:usb1="C000605B" w:usb2="00000029" w:usb3="00000000" w:csb0="200101FF" w:csb1="20280000"/>
  </w:font>
  <w:font w:name="等线">
    <w:altName w:val="Arial Unicode MS"/>
    <w:panose1 w:val="00000000000000000000"/>
    <w:charset w:val="00"/>
    <w:family w:val="auto"/>
    <w:pitch w:val="default"/>
    <w:sig w:usb0="00000000" w:usb1="00000000" w:usb2="00000000" w:usb3="00000000" w:csb0="00000000" w:csb1="0000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pPr>
                      <w:pStyle w:val="1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9"/>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pPr>
                      <w:pStyle w:val="19"/>
                    </w:pPr>
                    <w:r>
                      <w:fldChar w:fldCharType="begin"/>
                    </w:r>
                    <w:r>
                      <w:instrText xml:space="preserve"> PAGE  \* MERGEFORMAT </w:instrText>
                    </w:r>
                    <w:r>
                      <w:fldChar w:fldCharType="separate"/>
                    </w:r>
                    <w:r>
                      <w:t>7</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Bdr>
        <w:top w:val="none" w:color="auto" w:sz="0" w:space="1"/>
        <w:left w:val="none" w:color="auto" w:sz="0" w:space="4"/>
        <w:bottom w:val="none" w:color="auto" w:sz="0" w:space="1"/>
        <w:right w:val="none" w:color="auto" w:sz="0" w:space="4"/>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BABF7A"/>
    <w:multiLevelType w:val="singleLevel"/>
    <w:tmpl w:val="9EBABF7A"/>
    <w:lvl w:ilvl="0" w:tentative="0">
      <w:start w:val="1"/>
      <w:numFmt w:val="decimalEnclosedCircleChinese"/>
      <w:suff w:val="nothing"/>
      <w:lvlText w:val="%1　"/>
      <w:lvlJc w:val="left"/>
      <w:pPr>
        <w:ind w:left="0" w:firstLine="400"/>
      </w:pPr>
      <w:rPr>
        <w:rFonts w:hint="eastAsia"/>
      </w:rPr>
    </w:lvl>
  </w:abstractNum>
  <w:abstractNum w:abstractNumId="1">
    <w:nsid w:val="00000006"/>
    <w:multiLevelType w:val="multilevel"/>
    <w:tmpl w:val="00000006"/>
    <w:lvl w:ilvl="0" w:tentative="0">
      <w:start w:val="1"/>
      <w:numFmt w:val="none"/>
      <w:suff w:val="nothing"/>
      <w:lvlText w:val="%1"/>
      <w:lvlJc w:val="left"/>
      <w:pPr>
        <w:ind w:left="0" w:firstLine="0"/>
      </w:pPr>
      <w:rPr>
        <w:rFonts w:hint="default" w:ascii="Times New Roman" w:hAnsi="Times New Roman"/>
        <w:b/>
        <w:i w:val="0"/>
        <w:sz w:val="21"/>
      </w:rPr>
    </w:lvl>
    <w:lvl w:ilvl="1" w:tentative="0">
      <w:start w:val="1"/>
      <w:numFmt w:val="decimal"/>
      <w:lvlText w:val="%2."/>
      <w:lvlJc w:val="left"/>
      <w:pPr>
        <w:ind w:left="0" w:firstLine="0"/>
      </w:pPr>
      <w:rPr>
        <w:rFonts w:hint="eastAsia"/>
        <w:b w:val="0"/>
        <w:i w:val="0"/>
        <w:sz w:val="32"/>
        <w:szCs w:val="32"/>
      </w:rPr>
    </w:lvl>
    <w:lvl w:ilvl="2" w:tentative="0">
      <w:start w:val="1"/>
      <w:numFmt w:val="decimal"/>
      <w:pStyle w:val="5"/>
      <w:suff w:val="nothing"/>
      <w:lvlText w:val="%1%2.%3　"/>
      <w:lvlJc w:val="left"/>
      <w:pPr>
        <w:ind w:left="426" w:firstLine="0"/>
      </w:pPr>
      <w:rPr>
        <w:rFonts w:hint="eastAsia" w:ascii="黑体" w:hAnsi="Times New Roman" w:eastAsia="黑体"/>
        <w:b w:val="0"/>
        <w:i w:val="0"/>
        <w:sz w:val="28"/>
        <w:szCs w:val="28"/>
      </w:rPr>
    </w:lvl>
    <w:lvl w:ilvl="3" w:tentative="0">
      <w:start w:val="1"/>
      <w:numFmt w:val="decimal"/>
      <w:suff w:val="nothing"/>
      <w:lvlText w:val="%1%2.%3.%4　"/>
      <w:lvlJc w:val="left"/>
      <w:pPr>
        <w:ind w:left="0" w:firstLine="0"/>
      </w:pPr>
      <w:rPr>
        <w:rFonts w:hint="eastAsia" w:ascii="黑体" w:hAnsi="Times New Roman" w:eastAsia="黑体"/>
        <w:b w:val="0"/>
        <w:i w:val="0"/>
        <w:sz w:val="24"/>
        <w:szCs w:val="24"/>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088744FB"/>
    <w:multiLevelType w:val="multilevel"/>
    <w:tmpl w:val="088744FB"/>
    <w:lvl w:ilvl="0" w:tentative="0">
      <w:start w:val="1"/>
      <w:numFmt w:val="chineseCountingThousand"/>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36F8"/>
    <w:rsid w:val="00065747"/>
    <w:rsid w:val="00072A97"/>
    <w:rsid w:val="000A2A9D"/>
    <w:rsid w:val="0012753C"/>
    <w:rsid w:val="001532FA"/>
    <w:rsid w:val="00163347"/>
    <w:rsid w:val="00172A27"/>
    <w:rsid w:val="001A2104"/>
    <w:rsid w:val="001F3F00"/>
    <w:rsid w:val="00225857"/>
    <w:rsid w:val="00330115"/>
    <w:rsid w:val="0040176E"/>
    <w:rsid w:val="004260A8"/>
    <w:rsid w:val="004831A0"/>
    <w:rsid w:val="004855CD"/>
    <w:rsid w:val="00513EB8"/>
    <w:rsid w:val="00541759"/>
    <w:rsid w:val="0056033D"/>
    <w:rsid w:val="005920F5"/>
    <w:rsid w:val="005D49FE"/>
    <w:rsid w:val="005D72A0"/>
    <w:rsid w:val="005E33B4"/>
    <w:rsid w:val="00605667"/>
    <w:rsid w:val="0063514D"/>
    <w:rsid w:val="00661C59"/>
    <w:rsid w:val="006955AD"/>
    <w:rsid w:val="006F7932"/>
    <w:rsid w:val="007015AE"/>
    <w:rsid w:val="00716C8B"/>
    <w:rsid w:val="007A5671"/>
    <w:rsid w:val="007E478E"/>
    <w:rsid w:val="007E4CF3"/>
    <w:rsid w:val="00866FBE"/>
    <w:rsid w:val="008A0A92"/>
    <w:rsid w:val="008D13AD"/>
    <w:rsid w:val="008D3E00"/>
    <w:rsid w:val="00905826"/>
    <w:rsid w:val="009321ED"/>
    <w:rsid w:val="0098169C"/>
    <w:rsid w:val="00A03762"/>
    <w:rsid w:val="00A15F7A"/>
    <w:rsid w:val="00A165E1"/>
    <w:rsid w:val="00A16CD8"/>
    <w:rsid w:val="00A23C03"/>
    <w:rsid w:val="00A728EB"/>
    <w:rsid w:val="00AD1E67"/>
    <w:rsid w:val="00AE4754"/>
    <w:rsid w:val="00B11A67"/>
    <w:rsid w:val="00B219AF"/>
    <w:rsid w:val="00B24507"/>
    <w:rsid w:val="00B82E1F"/>
    <w:rsid w:val="00B8729C"/>
    <w:rsid w:val="00BF70F7"/>
    <w:rsid w:val="00C85E7D"/>
    <w:rsid w:val="00CA0FE1"/>
    <w:rsid w:val="00DB3775"/>
    <w:rsid w:val="00E1153D"/>
    <w:rsid w:val="00E50D4B"/>
    <w:rsid w:val="00F23804"/>
    <w:rsid w:val="00F606FE"/>
    <w:rsid w:val="00F82F66"/>
    <w:rsid w:val="00F96C0B"/>
    <w:rsid w:val="00FF44CE"/>
    <w:rsid w:val="011372BF"/>
    <w:rsid w:val="01710C3F"/>
    <w:rsid w:val="01BC4CCE"/>
    <w:rsid w:val="01FD0C20"/>
    <w:rsid w:val="025F008F"/>
    <w:rsid w:val="03CD29B4"/>
    <w:rsid w:val="041754BE"/>
    <w:rsid w:val="047246C1"/>
    <w:rsid w:val="04FD1C0C"/>
    <w:rsid w:val="0530306F"/>
    <w:rsid w:val="05A627E5"/>
    <w:rsid w:val="06461563"/>
    <w:rsid w:val="06CE370A"/>
    <w:rsid w:val="07E869BC"/>
    <w:rsid w:val="08864A59"/>
    <w:rsid w:val="089D4E6D"/>
    <w:rsid w:val="092907B5"/>
    <w:rsid w:val="092F463E"/>
    <w:rsid w:val="097206B7"/>
    <w:rsid w:val="0A503B57"/>
    <w:rsid w:val="0A6205A3"/>
    <w:rsid w:val="0CAF43AF"/>
    <w:rsid w:val="0CB371F9"/>
    <w:rsid w:val="0CCE41A1"/>
    <w:rsid w:val="0D072464"/>
    <w:rsid w:val="0D7921B5"/>
    <w:rsid w:val="0DC60553"/>
    <w:rsid w:val="10A726B8"/>
    <w:rsid w:val="10D84F6C"/>
    <w:rsid w:val="119C7E70"/>
    <w:rsid w:val="128B619F"/>
    <w:rsid w:val="13027F9E"/>
    <w:rsid w:val="13797F50"/>
    <w:rsid w:val="13B552D7"/>
    <w:rsid w:val="14603495"/>
    <w:rsid w:val="16117F63"/>
    <w:rsid w:val="163138D6"/>
    <w:rsid w:val="172665FD"/>
    <w:rsid w:val="17486CF1"/>
    <w:rsid w:val="17497E12"/>
    <w:rsid w:val="17974093"/>
    <w:rsid w:val="17C36214"/>
    <w:rsid w:val="1887457B"/>
    <w:rsid w:val="1A7C57CD"/>
    <w:rsid w:val="1AC427CB"/>
    <w:rsid w:val="1C27780C"/>
    <w:rsid w:val="1CE02DF1"/>
    <w:rsid w:val="1CF4621C"/>
    <w:rsid w:val="1F0C0F8C"/>
    <w:rsid w:val="1FBD3CA8"/>
    <w:rsid w:val="20486181"/>
    <w:rsid w:val="214D48D4"/>
    <w:rsid w:val="227B06EF"/>
    <w:rsid w:val="22EC5E0B"/>
    <w:rsid w:val="22F45ED9"/>
    <w:rsid w:val="242C1BBE"/>
    <w:rsid w:val="26DE07A4"/>
    <w:rsid w:val="27CE5EC9"/>
    <w:rsid w:val="27F41E96"/>
    <w:rsid w:val="298A2B6A"/>
    <w:rsid w:val="2A1667DA"/>
    <w:rsid w:val="2A315977"/>
    <w:rsid w:val="2B347B41"/>
    <w:rsid w:val="2C9B676F"/>
    <w:rsid w:val="2CB77B2C"/>
    <w:rsid w:val="2CBA1340"/>
    <w:rsid w:val="2DD97CA4"/>
    <w:rsid w:val="2EF73C56"/>
    <w:rsid w:val="2F421182"/>
    <w:rsid w:val="2F4A0C76"/>
    <w:rsid w:val="2FB26FA5"/>
    <w:rsid w:val="31A54F96"/>
    <w:rsid w:val="32987223"/>
    <w:rsid w:val="32B4481D"/>
    <w:rsid w:val="32FC3359"/>
    <w:rsid w:val="338A090C"/>
    <w:rsid w:val="345B0594"/>
    <w:rsid w:val="35694673"/>
    <w:rsid w:val="35B6673A"/>
    <w:rsid w:val="35D20485"/>
    <w:rsid w:val="36F814BA"/>
    <w:rsid w:val="37E224E5"/>
    <w:rsid w:val="392C23A8"/>
    <w:rsid w:val="39F2149B"/>
    <w:rsid w:val="3A496100"/>
    <w:rsid w:val="3ACF63CB"/>
    <w:rsid w:val="3D5442C8"/>
    <w:rsid w:val="3E7E3896"/>
    <w:rsid w:val="3EC218AB"/>
    <w:rsid w:val="401D2B61"/>
    <w:rsid w:val="409170EB"/>
    <w:rsid w:val="40D2769E"/>
    <w:rsid w:val="41ED0C97"/>
    <w:rsid w:val="43612CCE"/>
    <w:rsid w:val="446523E0"/>
    <w:rsid w:val="45B26FE4"/>
    <w:rsid w:val="461311F5"/>
    <w:rsid w:val="465B3065"/>
    <w:rsid w:val="465B4216"/>
    <w:rsid w:val="4B825DFD"/>
    <w:rsid w:val="4BA67CBB"/>
    <w:rsid w:val="4C7A3BC2"/>
    <w:rsid w:val="4CB27E8D"/>
    <w:rsid w:val="4E207B6C"/>
    <w:rsid w:val="4FDA66A3"/>
    <w:rsid w:val="516E5BA7"/>
    <w:rsid w:val="51EB2177"/>
    <w:rsid w:val="530120D2"/>
    <w:rsid w:val="53186CEC"/>
    <w:rsid w:val="53ED079E"/>
    <w:rsid w:val="547E72B1"/>
    <w:rsid w:val="55403B95"/>
    <w:rsid w:val="56B5369B"/>
    <w:rsid w:val="57647360"/>
    <w:rsid w:val="57A87D37"/>
    <w:rsid w:val="58931352"/>
    <w:rsid w:val="59267F39"/>
    <w:rsid w:val="59DA55C8"/>
    <w:rsid w:val="5AD87757"/>
    <w:rsid w:val="5B77168A"/>
    <w:rsid w:val="5CBE0325"/>
    <w:rsid w:val="5E227868"/>
    <w:rsid w:val="5E34640E"/>
    <w:rsid w:val="5ECF304C"/>
    <w:rsid w:val="5F966F28"/>
    <w:rsid w:val="5FA35F1F"/>
    <w:rsid w:val="5FB865B3"/>
    <w:rsid w:val="6070658D"/>
    <w:rsid w:val="61B61434"/>
    <w:rsid w:val="6338368A"/>
    <w:rsid w:val="65463835"/>
    <w:rsid w:val="660679AA"/>
    <w:rsid w:val="693D0F3F"/>
    <w:rsid w:val="6AEF7F5B"/>
    <w:rsid w:val="6CE63D74"/>
    <w:rsid w:val="6D4B7721"/>
    <w:rsid w:val="6DEB4CF2"/>
    <w:rsid w:val="6E495F06"/>
    <w:rsid w:val="6EB70217"/>
    <w:rsid w:val="6F2A1CE1"/>
    <w:rsid w:val="6F7076B3"/>
    <w:rsid w:val="704263F0"/>
    <w:rsid w:val="7070228B"/>
    <w:rsid w:val="719B76F1"/>
    <w:rsid w:val="71B7091D"/>
    <w:rsid w:val="72BE39B9"/>
    <w:rsid w:val="72E4246B"/>
    <w:rsid w:val="737558ED"/>
    <w:rsid w:val="73786C1E"/>
    <w:rsid w:val="73D264F7"/>
    <w:rsid w:val="749E2554"/>
    <w:rsid w:val="753C010D"/>
    <w:rsid w:val="77851D14"/>
    <w:rsid w:val="7991189E"/>
    <w:rsid w:val="79972FD2"/>
    <w:rsid w:val="79DA71D4"/>
    <w:rsid w:val="7B9B0D6A"/>
    <w:rsid w:val="7B9F35BE"/>
    <w:rsid w:val="7BFA4118"/>
    <w:rsid w:val="7DF1615D"/>
    <w:rsid w:val="7E46283D"/>
    <w:rsid w:val="7F0626F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adjustRightInd w:val="0"/>
      <w:snapToGrid w:val="0"/>
      <w:spacing w:line="360" w:lineRule="auto"/>
      <w:ind w:firstLine="961" w:firstLineChars="200"/>
    </w:pPr>
    <w:rPr>
      <w:rFonts w:ascii="Times New Roman" w:hAnsi="Times New Roman" w:eastAsia="宋体" w:cstheme="minorBidi"/>
      <w:sz w:val="24"/>
      <w:szCs w:val="22"/>
      <w:lang w:val="en-US" w:eastAsia="zh-CN" w:bidi="ar-SA"/>
    </w:rPr>
  </w:style>
  <w:style w:type="paragraph" w:styleId="8">
    <w:name w:val="heading 1"/>
    <w:basedOn w:val="1"/>
    <w:next w:val="1"/>
    <w:link w:val="35"/>
    <w:qFormat/>
    <w:uiPriority w:val="0"/>
    <w:pPr>
      <w:keepNext/>
      <w:keepLines/>
      <w:ind w:firstLine="200"/>
      <w:outlineLvl w:val="0"/>
    </w:pPr>
    <w:rPr>
      <w:b/>
      <w:bCs/>
      <w:kern w:val="44"/>
      <w:sz w:val="28"/>
      <w:szCs w:val="44"/>
    </w:rPr>
  </w:style>
  <w:style w:type="paragraph" w:styleId="9">
    <w:name w:val="heading 2"/>
    <w:basedOn w:val="1"/>
    <w:next w:val="1"/>
    <w:link w:val="36"/>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10">
    <w:name w:val="heading 3"/>
    <w:basedOn w:val="1"/>
    <w:next w:val="1"/>
    <w:link w:val="37"/>
    <w:unhideWhenUsed/>
    <w:qFormat/>
    <w:uiPriority w:val="0"/>
    <w:pPr>
      <w:keepNext/>
      <w:keepLines/>
      <w:spacing w:before="200"/>
      <w:outlineLvl w:val="2"/>
    </w:pPr>
    <w:rPr>
      <w:rFonts w:eastAsiaTheme="majorEastAsia" w:cstheme="majorBidi"/>
      <w:b/>
      <w:bCs/>
    </w:rPr>
  </w:style>
  <w:style w:type="paragraph" w:styleId="11">
    <w:name w:val="heading 4"/>
    <w:basedOn w:val="1"/>
    <w:next w:val="1"/>
    <w:link w:val="38"/>
    <w:semiHidden/>
    <w:unhideWhenUsed/>
    <w:qFormat/>
    <w:uiPriority w:val="0"/>
    <w:pPr>
      <w:keepNext/>
      <w:keepLines/>
      <w:spacing w:before="200"/>
      <w:outlineLvl w:val="3"/>
    </w:pPr>
    <w:rPr>
      <w:rFonts w:asciiTheme="majorHAnsi" w:hAnsiTheme="majorHAnsi" w:eastAsiaTheme="majorEastAsia" w:cstheme="majorBidi"/>
      <w:b/>
      <w:bCs/>
      <w:i/>
      <w:iCs/>
      <w:color w:val="4472C4" w:themeColor="accent1"/>
      <w14:textFill>
        <w14:solidFill>
          <w14:schemeClr w14:val="accent1"/>
        </w14:solidFill>
      </w14:textFill>
    </w:rPr>
  </w:style>
  <w:style w:type="character" w:default="1" w:styleId="27">
    <w:name w:val="Default Paragraph Font"/>
    <w:semiHidden/>
    <w:unhideWhenUsed/>
    <w:qFormat/>
    <w:uiPriority w:val="1"/>
  </w:style>
  <w:style w:type="table" w:default="1" w:styleId="25">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customStyle="1" w:styleId="2">
    <w:name w:val="四级条标题"/>
    <w:basedOn w:val="3"/>
    <w:next w:val="7"/>
    <w:qFormat/>
    <w:uiPriority w:val="0"/>
    <w:pPr>
      <w:outlineLvl w:val="5"/>
    </w:pPr>
    <w:rPr>
      <w:szCs w:val="20"/>
    </w:rPr>
  </w:style>
  <w:style w:type="paragraph" w:customStyle="1" w:styleId="3">
    <w:name w:val="三级条标题"/>
    <w:basedOn w:val="4"/>
    <w:next w:val="7"/>
    <w:qFormat/>
    <w:uiPriority w:val="0"/>
    <w:pPr>
      <w:outlineLvl w:val="4"/>
    </w:pPr>
  </w:style>
  <w:style w:type="paragraph" w:customStyle="1" w:styleId="4">
    <w:name w:val="二级条标题"/>
    <w:basedOn w:val="5"/>
    <w:next w:val="7"/>
    <w:qFormat/>
    <w:uiPriority w:val="0"/>
    <w:pPr>
      <w:outlineLvl w:val="3"/>
    </w:pPr>
    <w:rPr>
      <w:rFonts w:ascii="Times New Roman" w:hAnsi="Times New Roman" w:eastAsia="宋体" w:cs="Times New Roman"/>
      <w:lang w:val="en-US" w:eastAsia="zh-CN" w:bidi="ar-SA"/>
    </w:rPr>
  </w:style>
  <w:style w:type="paragraph" w:customStyle="1" w:styleId="5">
    <w:name w:val="一级条标题"/>
    <w:basedOn w:val="6"/>
    <w:next w:val="7"/>
    <w:qFormat/>
    <w:uiPriority w:val="0"/>
    <w:pPr>
      <w:numPr>
        <w:ilvl w:val="2"/>
        <w:numId w:val="1"/>
      </w:numPr>
      <w:spacing w:before="0" w:beforeLines="0" w:after="0" w:afterLines="0"/>
      <w:outlineLvl w:val="2"/>
    </w:pPr>
  </w:style>
  <w:style w:type="paragraph" w:customStyle="1" w:styleId="6">
    <w:name w:val="章标题"/>
    <w:next w:val="7"/>
    <w:qFormat/>
    <w:uiPriority w:val="0"/>
    <w:pPr>
      <w:spacing w:before="156" w:beforeLines="50" w:after="156" w:afterLines="50"/>
      <w:jc w:val="both"/>
      <w:outlineLvl w:val="1"/>
    </w:pPr>
    <w:rPr>
      <w:rFonts w:ascii="黑体" w:hAnsi="Times New Roman" w:eastAsia="黑体" w:cs="Times New Roman"/>
      <w:sz w:val="21"/>
      <w:szCs w:val="22"/>
      <w:lang w:val="en-US" w:eastAsia="zh-CN" w:bidi="ar-SA"/>
    </w:rPr>
  </w:style>
  <w:style w:type="paragraph" w:customStyle="1" w:styleId="7">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styleId="12">
    <w:name w:val="Normal Indent"/>
    <w:basedOn w:val="1"/>
    <w:next w:val="1"/>
    <w:unhideWhenUsed/>
    <w:qFormat/>
    <w:uiPriority w:val="99"/>
    <w:pPr>
      <w:widowControl w:val="0"/>
      <w:adjustRightInd/>
      <w:snapToGrid/>
      <w:ind w:firstLine="420"/>
      <w:jc w:val="both"/>
    </w:pPr>
    <w:rPr>
      <w:rFonts w:cs="Times New Roman"/>
      <w:kern w:val="2"/>
      <w:szCs w:val="24"/>
    </w:rPr>
  </w:style>
  <w:style w:type="paragraph" w:styleId="13">
    <w:name w:val="caption"/>
    <w:basedOn w:val="1"/>
    <w:next w:val="1"/>
    <w:unhideWhenUsed/>
    <w:qFormat/>
    <w:uiPriority w:val="0"/>
    <w:pPr>
      <w:adjustRightInd/>
      <w:snapToGrid/>
      <w:spacing w:beforeLines="50" w:line="240" w:lineRule="auto"/>
      <w:ind w:firstLine="0" w:firstLineChars="0"/>
      <w:jc w:val="center"/>
    </w:pPr>
    <w:rPr>
      <w:rFonts w:eastAsiaTheme="minorEastAsia"/>
      <w:b/>
      <w:bCs/>
      <w:color w:val="000000" w:themeColor="text1"/>
      <w:sz w:val="21"/>
      <w:szCs w:val="18"/>
      <w14:textFill>
        <w14:solidFill>
          <w14:schemeClr w14:val="tx1"/>
        </w14:solidFill>
      </w14:textFill>
    </w:rPr>
  </w:style>
  <w:style w:type="paragraph" w:styleId="14">
    <w:name w:val="annotation text"/>
    <w:basedOn w:val="1"/>
    <w:link w:val="40"/>
    <w:qFormat/>
    <w:uiPriority w:val="99"/>
  </w:style>
  <w:style w:type="paragraph" w:styleId="15">
    <w:name w:val="Body Text"/>
    <w:basedOn w:val="1"/>
    <w:next w:val="1"/>
    <w:link w:val="39"/>
    <w:qFormat/>
    <w:uiPriority w:val="0"/>
    <w:pPr>
      <w:spacing w:after="120"/>
    </w:pPr>
  </w:style>
  <w:style w:type="paragraph" w:styleId="16">
    <w:name w:val="Body Text Indent"/>
    <w:basedOn w:val="1"/>
    <w:link w:val="41"/>
    <w:unhideWhenUsed/>
    <w:qFormat/>
    <w:uiPriority w:val="0"/>
    <w:pPr>
      <w:widowControl w:val="0"/>
      <w:spacing w:after="120" w:line="240" w:lineRule="auto"/>
      <w:ind w:left="420" w:leftChars="200"/>
      <w:jc w:val="both"/>
    </w:pPr>
    <w:rPr>
      <w:rFonts w:cs="Times New Roman"/>
      <w:kern w:val="2"/>
      <w:sz w:val="21"/>
      <w:szCs w:val="24"/>
    </w:rPr>
  </w:style>
  <w:style w:type="paragraph" w:styleId="17">
    <w:name w:val="toc 3"/>
    <w:basedOn w:val="1"/>
    <w:next w:val="1"/>
    <w:semiHidden/>
    <w:unhideWhenUsed/>
    <w:qFormat/>
    <w:uiPriority w:val="39"/>
    <w:pPr>
      <w:ind w:left="840" w:leftChars="400"/>
    </w:pPr>
  </w:style>
  <w:style w:type="paragraph" w:styleId="18">
    <w:name w:val="Plain Text"/>
    <w:basedOn w:val="1"/>
    <w:link w:val="42"/>
    <w:unhideWhenUsed/>
    <w:qFormat/>
    <w:uiPriority w:val="99"/>
    <w:pPr>
      <w:widowControl w:val="0"/>
      <w:spacing w:line="240" w:lineRule="auto"/>
      <w:jc w:val="both"/>
    </w:pPr>
    <w:rPr>
      <w:rFonts w:ascii="宋体" w:hAnsi="Courier New" w:cs="Courier New"/>
      <w:kern w:val="2"/>
      <w:sz w:val="21"/>
      <w:szCs w:val="21"/>
    </w:rPr>
  </w:style>
  <w:style w:type="paragraph" w:styleId="19">
    <w:name w:val="footer"/>
    <w:basedOn w:val="1"/>
    <w:link w:val="34"/>
    <w:unhideWhenUsed/>
    <w:qFormat/>
    <w:uiPriority w:val="0"/>
    <w:pPr>
      <w:tabs>
        <w:tab w:val="center" w:pos="4153"/>
        <w:tab w:val="right" w:pos="8306"/>
      </w:tabs>
    </w:pPr>
    <w:rPr>
      <w:sz w:val="18"/>
      <w:szCs w:val="18"/>
    </w:rPr>
  </w:style>
  <w:style w:type="paragraph" w:styleId="20">
    <w:name w:val="header"/>
    <w:basedOn w:val="1"/>
    <w:link w:val="33"/>
    <w:unhideWhenUsed/>
    <w:qFormat/>
    <w:uiPriority w:val="0"/>
    <w:pPr>
      <w:pBdr>
        <w:bottom w:val="single" w:color="auto" w:sz="6" w:space="1"/>
      </w:pBdr>
      <w:tabs>
        <w:tab w:val="center" w:pos="4153"/>
        <w:tab w:val="right" w:pos="8306"/>
      </w:tabs>
      <w:jc w:val="center"/>
    </w:pPr>
    <w:rPr>
      <w:sz w:val="18"/>
      <w:szCs w:val="18"/>
    </w:rPr>
  </w:style>
  <w:style w:type="paragraph" w:styleId="21">
    <w:name w:val="toc 1"/>
    <w:basedOn w:val="1"/>
    <w:next w:val="1"/>
    <w:semiHidden/>
    <w:unhideWhenUsed/>
    <w:qFormat/>
    <w:uiPriority w:val="39"/>
  </w:style>
  <w:style w:type="paragraph" w:styleId="22">
    <w:name w:val="Normal (Web)"/>
    <w:basedOn w:val="1"/>
    <w:link w:val="44"/>
    <w:qFormat/>
    <w:uiPriority w:val="99"/>
    <w:pPr>
      <w:spacing w:beforeAutospacing="1" w:afterAutospacing="1"/>
    </w:pPr>
    <w:rPr>
      <w:rFonts w:ascii="宋体" w:hAnsi="宋体" w:cs="Times New Roman"/>
      <w:szCs w:val="20"/>
    </w:rPr>
  </w:style>
  <w:style w:type="paragraph" w:styleId="23">
    <w:name w:val="annotation subject"/>
    <w:basedOn w:val="14"/>
    <w:next w:val="14"/>
    <w:link w:val="43"/>
    <w:qFormat/>
    <w:uiPriority w:val="0"/>
    <w:rPr>
      <w:b/>
      <w:bCs/>
    </w:rPr>
  </w:style>
  <w:style w:type="paragraph" w:styleId="24">
    <w:name w:val="Body Text First Indent"/>
    <w:basedOn w:val="15"/>
    <w:qFormat/>
    <w:uiPriority w:val="0"/>
    <w:pPr>
      <w:spacing w:after="0"/>
      <w:ind w:firstLine="1440"/>
    </w:pPr>
  </w:style>
  <w:style w:type="table" w:styleId="26">
    <w:name w:val="Table Grid"/>
    <w:basedOn w:val="25"/>
    <w:qFormat/>
    <w:uiPriority w:val="0"/>
    <w:rPr>
      <w:rFonts w:ascii="Calibri" w:hAnsi="Calibri"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8">
    <w:name w:val="FollowedHyperlink"/>
    <w:basedOn w:val="27"/>
    <w:semiHidden/>
    <w:unhideWhenUsed/>
    <w:qFormat/>
    <w:uiPriority w:val="99"/>
    <w:rPr>
      <w:color w:val="000000"/>
      <w:u w:val="none"/>
    </w:rPr>
  </w:style>
  <w:style w:type="character" w:styleId="29">
    <w:name w:val="Emphasis"/>
    <w:basedOn w:val="27"/>
    <w:qFormat/>
    <w:uiPriority w:val="20"/>
  </w:style>
  <w:style w:type="character" w:styleId="30">
    <w:name w:val="Hyperlink"/>
    <w:basedOn w:val="27"/>
    <w:semiHidden/>
    <w:unhideWhenUsed/>
    <w:qFormat/>
    <w:uiPriority w:val="99"/>
    <w:rPr>
      <w:color w:val="000000"/>
      <w:u w:val="none"/>
    </w:rPr>
  </w:style>
  <w:style w:type="character" w:styleId="31">
    <w:name w:val="annotation reference"/>
    <w:basedOn w:val="27"/>
    <w:qFormat/>
    <w:uiPriority w:val="99"/>
    <w:rPr>
      <w:sz w:val="21"/>
      <w:szCs w:val="21"/>
    </w:rPr>
  </w:style>
  <w:style w:type="paragraph" w:customStyle="1" w:styleId="32">
    <w:name w:val="表格文字"/>
    <w:basedOn w:val="24"/>
    <w:qFormat/>
    <w:uiPriority w:val="0"/>
    <w:pPr>
      <w:spacing w:line="0" w:lineRule="atLeast"/>
      <w:ind w:firstLine="0" w:firstLineChars="0"/>
      <w:jc w:val="center"/>
    </w:pPr>
    <w:rPr>
      <w:bCs/>
      <w:sz w:val="21"/>
      <w:szCs w:val="20"/>
    </w:rPr>
  </w:style>
  <w:style w:type="character" w:customStyle="1" w:styleId="33">
    <w:name w:val="页眉 字符"/>
    <w:basedOn w:val="27"/>
    <w:link w:val="20"/>
    <w:qFormat/>
    <w:uiPriority w:val="99"/>
    <w:rPr>
      <w:sz w:val="18"/>
      <w:szCs w:val="18"/>
    </w:rPr>
  </w:style>
  <w:style w:type="character" w:customStyle="1" w:styleId="34">
    <w:name w:val="页脚 字符"/>
    <w:basedOn w:val="27"/>
    <w:link w:val="19"/>
    <w:qFormat/>
    <w:uiPriority w:val="0"/>
    <w:rPr>
      <w:sz w:val="18"/>
      <w:szCs w:val="18"/>
    </w:rPr>
  </w:style>
  <w:style w:type="character" w:customStyle="1" w:styleId="35">
    <w:name w:val="标题 1 字符"/>
    <w:basedOn w:val="27"/>
    <w:link w:val="8"/>
    <w:qFormat/>
    <w:uiPriority w:val="0"/>
    <w:rPr>
      <w:rFonts w:ascii="Times New Roman" w:hAnsi="Times New Roman" w:eastAsia="宋体"/>
      <w:b/>
      <w:bCs/>
      <w:kern w:val="44"/>
      <w:sz w:val="28"/>
      <w:szCs w:val="44"/>
    </w:rPr>
  </w:style>
  <w:style w:type="character" w:customStyle="1" w:styleId="36">
    <w:name w:val="标题 2 字符"/>
    <w:basedOn w:val="27"/>
    <w:link w:val="9"/>
    <w:semiHidden/>
    <w:qFormat/>
    <w:uiPriority w:val="0"/>
    <w:rPr>
      <w:rFonts w:asciiTheme="majorHAnsi" w:hAnsiTheme="majorHAnsi" w:eastAsiaTheme="majorEastAsia" w:cstheme="majorBidi"/>
      <w:b/>
      <w:bCs/>
      <w:kern w:val="0"/>
      <w:sz w:val="32"/>
      <w:szCs w:val="32"/>
    </w:rPr>
  </w:style>
  <w:style w:type="character" w:customStyle="1" w:styleId="37">
    <w:name w:val="标题 3 字符"/>
    <w:basedOn w:val="27"/>
    <w:link w:val="10"/>
    <w:qFormat/>
    <w:uiPriority w:val="0"/>
    <w:rPr>
      <w:rFonts w:ascii="Times New Roman" w:hAnsi="Times New Roman" w:eastAsiaTheme="majorEastAsia" w:cstheme="majorBidi"/>
      <w:b/>
      <w:bCs/>
      <w:kern w:val="0"/>
      <w:sz w:val="24"/>
    </w:rPr>
  </w:style>
  <w:style w:type="character" w:customStyle="1" w:styleId="38">
    <w:name w:val="标题 4 字符"/>
    <w:basedOn w:val="27"/>
    <w:link w:val="11"/>
    <w:semiHidden/>
    <w:qFormat/>
    <w:uiPriority w:val="0"/>
    <w:rPr>
      <w:rFonts w:asciiTheme="majorHAnsi" w:hAnsiTheme="majorHAnsi" w:eastAsiaTheme="majorEastAsia" w:cstheme="majorBidi"/>
      <w:b/>
      <w:bCs/>
      <w:i/>
      <w:iCs/>
      <w:color w:val="4472C4" w:themeColor="accent1"/>
      <w:kern w:val="0"/>
      <w:sz w:val="24"/>
      <w14:textFill>
        <w14:solidFill>
          <w14:schemeClr w14:val="accent1"/>
        </w14:solidFill>
      </w14:textFill>
    </w:rPr>
  </w:style>
  <w:style w:type="character" w:customStyle="1" w:styleId="39">
    <w:name w:val="正文文本 字符"/>
    <w:basedOn w:val="27"/>
    <w:link w:val="15"/>
    <w:qFormat/>
    <w:uiPriority w:val="0"/>
    <w:rPr>
      <w:rFonts w:ascii="Times New Roman" w:hAnsi="Times New Roman" w:eastAsia="宋体"/>
      <w:kern w:val="0"/>
      <w:sz w:val="24"/>
    </w:rPr>
  </w:style>
  <w:style w:type="character" w:customStyle="1" w:styleId="40">
    <w:name w:val="批注文字 字符"/>
    <w:basedOn w:val="27"/>
    <w:link w:val="14"/>
    <w:qFormat/>
    <w:uiPriority w:val="99"/>
    <w:rPr>
      <w:rFonts w:ascii="Times New Roman" w:hAnsi="Times New Roman" w:eastAsia="宋体"/>
      <w:kern w:val="0"/>
      <w:sz w:val="24"/>
    </w:rPr>
  </w:style>
  <w:style w:type="character" w:customStyle="1" w:styleId="41">
    <w:name w:val="正文文本缩进 字符"/>
    <w:basedOn w:val="27"/>
    <w:link w:val="16"/>
    <w:qFormat/>
    <w:uiPriority w:val="0"/>
    <w:rPr>
      <w:rFonts w:ascii="Times New Roman" w:hAnsi="Times New Roman" w:eastAsia="宋体" w:cs="Times New Roman"/>
      <w:szCs w:val="24"/>
    </w:rPr>
  </w:style>
  <w:style w:type="character" w:customStyle="1" w:styleId="42">
    <w:name w:val="纯文本 字符"/>
    <w:basedOn w:val="27"/>
    <w:link w:val="18"/>
    <w:qFormat/>
    <w:uiPriority w:val="99"/>
    <w:rPr>
      <w:rFonts w:ascii="宋体" w:hAnsi="Courier New" w:eastAsia="宋体" w:cs="Courier New"/>
      <w:szCs w:val="21"/>
    </w:rPr>
  </w:style>
  <w:style w:type="character" w:customStyle="1" w:styleId="43">
    <w:name w:val="批注主题 字符"/>
    <w:basedOn w:val="40"/>
    <w:link w:val="23"/>
    <w:qFormat/>
    <w:uiPriority w:val="0"/>
    <w:rPr>
      <w:rFonts w:ascii="Times New Roman" w:hAnsi="Times New Roman" w:eastAsia="宋体"/>
      <w:b/>
      <w:bCs/>
      <w:kern w:val="0"/>
      <w:sz w:val="24"/>
    </w:rPr>
  </w:style>
  <w:style w:type="character" w:customStyle="1" w:styleId="44">
    <w:name w:val="普通(网站) 字符"/>
    <w:basedOn w:val="27"/>
    <w:link w:val="22"/>
    <w:qFormat/>
    <w:uiPriority w:val="99"/>
    <w:rPr>
      <w:rFonts w:ascii="宋体" w:hAnsi="宋体" w:eastAsia="宋体" w:cs="Times New Roman"/>
      <w:kern w:val="0"/>
      <w:sz w:val="24"/>
      <w:szCs w:val="20"/>
    </w:rPr>
  </w:style>
  <w:style w:type="character" w:customStyle="1" w:styleId="45">
    <w:name w:val="表格 Char"/>
    <w:basedOn w:val="27"/>
    <w:link w:val="46"/>
    <w:qFormat/>
    <w:uiPriority w:val="0"/>
    <w:rPr>
      <w:rFonts w:ascii="宋体" w:hAnsi="宋体" w:eastAsia="宋体" w:cs="宋体"/>
    </w:rPr>
  </w:style>
  <w:style w:type="paragraph" w:customStyle="1" w:styleId="46">
    <w:name w:val="表格"/>
    <w:basedOn w:val="32"/>
    <w:next w:val="1"/>
    <w:link w:val="45"/>
    <w:qFormat/>
    <w:uiPriority w:val="0"/>
    <w:pPr>
      <w:widowControl w:val="0"/>
      <w:spacing w:beforeLines="10" w:line="256" w:lineRule="auto"/>
    </w:pPr>
    <w:rPr>
      <w:rFonts w:hint="eastAsia" w:ascii="宋体" w:hAnsi="宋体" w:cs="宋体"/>
      <w:kern w:val="2"/>
    </w:rPr>
  </w:style>
  <w:style w:type="paragraph" w:customStyle="1" w:styleId="47">
    <w:name w:val="1标题"/>
    <w:basedOn w:val="1"/>
    <w:qFormat/>
    <w:uiPriority w:val="0"/>
    <w:pPr>
      <w:widowControl w:val="0"/>
      <w:ind w:firstLine="723"/>
      <w:jc w:val="both"/>
    </w:pPr>
    <w:rPr>
      <w:b/>
      <w:szCs w:val="20"/>
    </w:rPr>
  </w:style>
  <w:style w:type="paragraph" w:customStyle="1" w:styleId="48">
    <w:name w:val="正文1"/>
    <w:basedOn w:val="1"/>
    <w:qFormat/>
    <w:uiPriority w:val="0"/>
    <w:pPr>
      <w:widowControl w:val="0"/>
      <w:ind w:firstLine="480"/>
      <w:jc w:val="both"/>
    </w:pPr>
    <w:rPr>
      <w:rFonts w:ascii="宋体" w:hAnsi="宋体"/>
      <w:kern w:val="2"/>
      <w:szCs w:val="24"/>
    </w:rPr>
  </w:style>
  <w:style w:type="paragraph" w:customStyle="1" w:styleId="49">
    <w:name w:val="表标题"/>
    <w:qFormat/>
    <w:uiPriority w:val="0"/>
    <w:pPr>
      <w:spacing w:line="240" w:lineRule="atLeast"/>
      <w:jc w:val="center"/>
    </w:pPr>
    <w:rPr>
      <w:rFonts w:ascii="Times New Roman" w:hAnsi="Times New Roman" w:eastAsia="宋体" w:cs="Times New Roman"/>
      <w:b/>
      <w:bCs/>
      <w:color w:val="000000"/>
      <w:kern w:val="2"/>
      <w:sz w:val="24"/>
      <w:szCs w:val="32"/>
      <w:lang w:val="en-US" w:eastAsia="zh-CN" w:bidi="ar-SA"/>
    </w:rPr>
  </w:style>
  <w:style w:type="paragraph" w:customStyle="1" w:styleId="50">
    <w:name w:val="九晟表格"/>
    <w:basedOn w:val="1"/>
    <w:qFormat/>
    <w:uiPriority w:val="99"/>
    <w:pPr>
      <w:widowControl w:val="0"/>
      <w:spacing w:line="240" w:lineRule="auto"/>
      <w:jc w:val="center"/>
    </w:pPr>
    <w:rPr>
      <w:rFonts w:cs="Times New Roman"/>
      <w:kern w:val="2"/>
      <w:sz w:val="21"/>
      <w:szCs w:val="21"/>
    </w:rPr>
  </w:style>
  <w:style w:type="table" w:customStyle="1" w:styleId="51">
    <w:name w:val="报告表表格样式"/>
    <w:basedOn w:val="25"/>
    <w:qFormat/>
    <w:uiPriority w:val="99"/>
    <w:pPr>
      <w:spacing w:line="0" w:lineRule="atLeast"/>
      <w:jc w:val="center"/>
    </w:pPr>
    <w:rPr>
      <w:rFonts w:ascii="Calibri" w:hAnsi="Calibri"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FFFFFF" w:themeFill="background1"/>
      <w:vAlign w:val="center"/>
    </w:tcPr>
  </w:style>
  <w:style w:type="paragraph" w:customStyle="1" w:styleId="52">
    <w:name w:val="表格文字2"/>
    <w:basedOn w:val="1"/>
    <w:qFormat/>
    <w:uiPriority w:val="99"/>
    <w:pPr>
      <w:widowControl w:val="0"/>
      <w:tabs>
        <w:tab w:val="left" w:pos="277"/>
        <w:tab w:val="left" w:pos="600"/>
        <w:tab w:val="left" w:pos="780"/>
        <w:tab w:val="left" w:pos="2517"/>
      </w:tabs>
      <w:spacing w:line="0" w:lineRule="atLeast"/>
      <w:ind w:firstLine="0" w:firstLineChars="0"/>
      <w:jc w:val="center"/>
    </w:pPr>
    <w:rPr>
      <w:rFonts w:cs="Times New Roman"/>
      <w:spacing w:val="5"/>
      <w:kern w:val="44"/>
      <w:sz w:val="21"/>
      <w:szCs w:val="20"/>
    </w:rPr>
  </w:style>
  <w:style w:type="paragraph" w:customStyle="1" w:styleId="53">
    <w:name w:val="列出段落1"/>
    <w:basedOn w:val="54"/>
    <w:next w:val="54"/>
    <w:qFormat/>
    <w:uiPriority w:val="0"/>
    <w:pPr>
      <w:ind w:left="720"/>
      <w:contextualSpacing/>
    </w:pPr>
    <w:rPr>
      <w:sz w:val="32"/>
    </w:rPr>
  </w:style>
  <w:style w:type="paragraph" w:customStyle="1" w:styleId="54">
    <w:name w:val="无间隔1"/>
    <w:qFormat/>
    <w:uiPriority w:val="1"/>
    <w:rPr>
      <w:rFonts w:asciiTheme="minorHAnsi" w:hAnsiTheme="minorHAnsi" w:eastAsiaTheme="minorEastAsia" w:cstheme="minorBidi"/>
      <w:sz w:val="22"/>
      <w:szCs w:val="22"/>
      <w:lang w:val="en-US" w:eastAsia="zh-CN" w:bidi="ar-SA"/>
    </w:rPr>
  </w:style>
  <w:style w:type="table" w:customStyle="1" w:styleId="55">
    <w:name w:val="lily 表格1"/>
    <w:basedOn w:val="25"/>
    <w:qFormat/>
    <w:uiPriority w:val="0"/>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56">
    <w:name w:val="表格内容"/>
    <w:basedOn w:val="46"/>
    <w:qFormat/>
    <w:uiPriority w:val="0"/>
    <w:rPr>
      <w:rFonts w:cs="Times New Roman"/>
      <w:szCs w:val="21"/>
    </w:rPr>
  </w:style>
  <w:style w:type="paragraph" w:styleId="57">
    <w:name w:val="List Paragraph"/>
    <w:basedOn w:val="1"/>
    <w:qFormat/>
    <w:uiPriority w:val="34"/>
    <w:pPr>
      <w:ind w:firstLine="420"/>
    </w:pPr>
  </w:style>
  <w:style w:type="character" w:customStyle="1" w:styleId="58">
    <w:name w:val="font61"/>
    <w:basedOn w:val="27"/>
    <w:qFormat/>
    <w:uiPriority w:val="0"/>
    <w:rPr>
      <w:rFonts w:hint="default" w:ascii="Times New Roman" w:hAnsi="Times New Roman" w:cs="Times New Roman"/>
      <w:color w:val="000000"/>
      <w:sz w:val="21"/>
      <w:szCs w:val="21"/>
      <w:u w:val="none"/>
    </w:rPr>
  </w:style>
  <w:style w:type="character" w:customStyle="1" w:styleId="59">
    <w:name w:val="font51"/>
    <w:basedOn w:val="27"/>
    <w:qFormat/>
    <w:uiPriority w:val="0"/>
    <w:rPr>
      <w:rFonts w:hint="eastAsia" w:ascii="宋体" w:hAnsi="宋体" w:eastAsia="宋体" w:cs="宋体"/>
      <w:color w:val="000000"/>
      <w:sz w:val="21"/>
      <w:szCs w:val="21"/>
      <w:u w:val="none"/>
    </w:rPr>
  </w:style>
  <w:style w:type="character" w:customStyle="1" w:styleId="60">
    <w:name w:val="lable"/>
    <w:basedOn w:val="27"/>
    <w:qFormat/>
    <w:uiPriority w:val="0"/>
    <w:rPr>
      <w:sz w:val="24"/>
      <w:szCs w:val="24"/>
    </w:rPr>
  </w:style>
  <w:style w:type="character" w:customStyle="1" w:styleId="61">
    <w:name w:val="znspantitle"/>
    <w:basedOn w:val="27"/>
    <w:qFormat/>
    <w:uiPriority w:val="0"/>
    <w:rPr>
      <w:b/>
      <w:bCs/>
      <w:color w:val="333333"/>
    </w:rPr>
  </w:style>
  <w:style w:type="character" w:customStyle="1" w:styleId="62">
    <w:name w:val="lishishuju"/>
    <w:basedOn w:val="27"/>
    <w:qFormat/>
    <w:uiPriority w:val="0"/>
    <w:rPr>
      <w:b/>
      <w:bCs/>
      <w:color w:val="000052"/>
      <w:sz w:val="24"/>
      <w:szCs w:val="24"/>
      <w:bdr w:val="single" w:color="E3E3E3" w:sz="6" w:space="0"/>
    </w:rPr>
  </w:style>
  <w:style w:type="character" w:customStyle="1" w:styleId="63">
    <w:name w:val="radio-btn"/>
    <w:basedOn w:val="27"/>
    <w:qFormat/>
    <w:uiPriority w:val="0"/>
    <w:rPr>
      <w:sz w:val="21"/>
      <w:szCs w:val="21"/>
    </w:rPr>
  </w:style>
  <w:style w:type="character" w:customStyle="1" w:styleId="64">
    <w:name w:val="radio-btn1"/>
    <w:basedOn w:val="27"/>
    <w:qFormat/>
    <w:uiPriority w:val="0"/>
    <w:rPr>
      <w:sz w:val="24"/>
      <w:szCs w:val="24"/>
    </w:rPr>
  </w:style>
  <w:style w:type="character" w:customStyle="1" w:styleId="65">
    <w:name w:val="radio-btn2"/>
    <w:basedOn w:val="27"/>
    <w:qFormat/>
    <w:uiPriority w:val="0"/>
    <w:rPr>
      <w:sz w:val="24"/>
      <w:szCs w:val="24"/>
    </w:rPr>
  </w:style>
  <w:style w:type="character" w:customStyle="1" w:styleId="66">
    <w:name w:val="cur1"/>
    <w:basedOn w:val="27"/>
    <w:qFormat/>
    <w:uiPriority w:val="0"/>
    <w:rPr>
      <w:color w:val="FFFFFF"/>
      <w:shd w:val="clear" w:color="auto" w:fill="2F6B98"/>
    </w:rPr>
  </w:style>
  <w:style w:type="character" w:customStyle="1" w:styleId="67">
    <w:name w:val="font81"/>
    <w:basedOn w:val="27"/>
    <w:qFormat/>
    <w:uiPriority w:val="0"/>
    <w:rPr>
      <w:rFonts w:hint="eastAsia" w:ascii="宋体" w:hAnsi="宋体" w:eastAsia="宋体" w:cs="宋体"/>
      <w:color w:val="000000"/>
      <w:sz w:val="21"/>
      <w:szCs w:val="21"/>
      <w:u w:val="single"/>
    </w:rPr>
  </w:style>
  <w:style w:type="character" w:customStyle="1" w:styleId="68">
    <w:name w:val="font71"/>
    <w:basedOn w:val="27"/>
    <w:qFormat/>
    <w:uiPriority w:val="0"/>
    <w:rPr>
      <w:rFonts w:hint="default" w:ascii="Times New Roman" w:hAnsi="Times New Roman" w:cs="Times New Roman"/>
      <w:color w:val="000000"/>
      <w:sz w:val="21"/>
      <w:szCs w:val="21"/>
      <w:u w:val="none"/>
    </w:rPr>
  </w:style>
  <w:style w:type="paragraph" w:customStyle="1" w:styleId="69">
    <w:name w:val="msolistparagraph"/>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18.png"/><Relationship Id="rId34" Type="http://schemas.openxmlformats.org/officeDocument/2006/relationships/image" Target="media/image17.png"/><Relationship Id="rId33" Type="http://schemas.openxmlformats.org/officeDocument/2006/relationships/image" Target="media/image16.png"/><Relationship Id="rId32" Type="http://schemas.openxmlformats.org/officeDocument/2006/relationships/image" Target="media/image15.png"/><Relationship Id="rId31" Type="http://schemas.openxmlformats.org/officeDocument/2006/relationships/image" Target="media/image14.png"/><Relationship Id="rId30" Type="http://schemas.openxmlformats.org/officeDocument/2006/relationships/image" Target="media/image13.png"/><Relationship Id="rId3" Type="http://schemas.openxmlformats.org/officeDocument/2006/relationships/footnotes" Target="footnotes.xml"/><Relationship Id="rId29" Type="http://schemas.openxmlformats.org/officeDocument/2006/relationships/image" Target="media/image12.png"/><Relationship Id="rId28" Type="http://schemas.openxmlformats.org/officeDocument/2006/relationships/image" Target="media/image11.emf"/><Relationship Id="rId27" Type="http://schemas.openxmlformats.org/officeDocument/2006/relationships/oleObject" Target="embeddings/oleObject3.bin"/><Relationship Id="rId26" Type="http://schemas.openxmlformats.org/officeDocument/2006/relationships/image" Target="media/image10.emf"/><Relationship Id="rId25" Type="http://schemas.openxmlformats.org/officeDocument/2006/relationships/oleObject" Target="embeddings/oleObject2.bin"/><Relationship Id="rId24" Type="http://schemas.openxmlformats.org/officeDocument/2006/relationships/image" Target="media/image9.jpeg"/><Relationship Id="rId23" Type="http://schemas.openxmlformats.org/officeDocument/2006/relationships/image" Target="media/image8.emf"/><Relationship Id="rId22" Type="http://schemas.openxmlformats.org/officeDocument/2006/relationships/oleObject" Target="embeddings/oleObject1.bin"/><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52</Pages>
  <Words>25568</Words>
  <Characters>32177</Characters>
  <Lines>240</Lines>
  <Paragraphs>67</Paragraphs>
  <TotalTime>4</TotalTime>
  <ScaleCrop>false</ScaleCrop>
  <LinksUpToDate>false</LinksUpToDate>
  <CharactersWithSpaces>32738</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2021-04-01T14:14:00Z</dcterms:created>
  <dc:creator>高 榕</dc:creator>
  <cp:lastModifiedBy>。。。</cp:lastModifiedBy>
  <cp:lastPrinted>2021-04-02T01:59:00Z</cp:lastPrinted>
  <dcterms:modified xsi:type="dcterms:W3CDTF">2021-05-20T01:18:01Z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D30D480A5D904BC983EDCEBD3ED0D800</vt:lpwstr>
  </property>
</Properties>
</file>